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22" w:rsidRDefault="00E41322" w:rsidP="00A82CEA">
      <w:pPr>
        <w:rPr>
          <w:b/>
          <w:sz w:val="24"/>
          <w:szCs w:val="32"/>
          <w:u w:val="single"/>
        </w:rPr>
      </w:pPr>
      <w:bookmarkStart w:id="0" w:name="_Hlk61847459"/>
      <w:r w:rsidRPr="0072567D">
        <w:rPr>
          <w:b/>
          <w:noProof/>
          <w:sz w:val="28"/>
          <w:szCs w:val="32"/>
          <w:u w:val="single"/>
        </w:rPr>
        <w:drawing>
          <wp:anchor distT="0" distB="0" distL="114300" distR="114300" simplePos="0" relativeHeight="251659264" behindDoc="1" locked="0" layoutInCell="1" allowOverlap="1" wp14:anchorId="5C75F470" wp14:editId="342F464E">
            <wp:simplePos x="0" y="0"/>
            <wp:positionH relativeFrom="page">
              <wp:posOffset>5764530</wp:posOffset>
            </wp:positionH>
            <wp:positionV relativeFrom="paragraph">
              <wp:posOffset>0</wp:posOffset>
            </wp:positionV>
            <wp:extent cx="1219200" cy="612140"/>
            <wp:effectExtent l="0" t="0" r="0" b="0"/>
            <wp:wrapTight wrapText="bothSides">
              <wp:wrapPolygon edited="0">
                <wp:start x="0" y="0"/>
                <wp:lineTo x="0" y="20838"/>
                <wp:lineTo x="20250" y="20838"/>
                <wp:lineTo x="20250" y="0"/>
                <wp:lineTo x="0" y="0"/>
              </wp:wrapPolygon>
            </wp:wrapTight>
            <wp:docPr id="28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121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A5C64" w:rsidRDefault="00AA5C64" w:rsidP="00A82CEA">
      <w:pPr>
        <w:rPr>
          <w:b/>
          <w:sz w:val="24"/>
          <w:szCs w:val="32"/>
          <w:u w:val="single"/>
        </w:rPr>
      </w:pPr>
    </w:p>
    <w:p w:rsidR="00A82CEA" w:rsidRPr="009426A0" w:rsidRDefault="00D247D4" w:rsidP="00A82CEA">
      <w:pPr>
        <w:rPr>
          <w:b/>
          <w:sz w:val="24"/>
          <w:szCs w:val="32"/>
          <w:u w:val="single"/>
        </w:rPr>
      </w:pPr>
      <w:r>
        <w:rPr>
          <w:b/>
          <w:sz w:val="24"/>
          <w:szCs w:val="32"/>
          <w:u w:val="single"/>
        </w:rPr>
        <w:t>Scottish</w:t>
      </w:r>
      <w:r w:rsidR="00A82CEA" w:rsidRPr="009426A0">
        <w:rPr>
          <w:b/>
          <w:sz w:val="24"/>
          <w:szCs w:val="32"/>
          <w:u w:val="single"/>
        </w:rPr>
        <w:t xml:space="preserve"> Railways</w:t>
      </w:r>
      <w:r w:rsidR="00E43326">
        <w:rPr>
          <w:b/>
          <w:sz w:val="24"/>
          <w:szCs w:val="32"/>
          <w:u w:val="single"/>
        </w:rPr>
        <w:t xml:space="preserve"> Policing</w:t>
      </w:r>
      <w:r w:rsidR="00A82CEA" w:rsidRPr="009426A0">
        <w:rPr>
          <w:b/>
          <w:sz w:val="24"/>
          <w:szCs w:val="32"/>
          <w:u w:val="single"/>
        </w:rPr>
        <w:t xml:space="preserve"> Committee Performance Report</w:t>
      </w:r>
      <w:r w:rsidR="00E43326">
        <w:rPr>
          <w:b/>
          <w:sz w:val="24"/>
          <w:szCs w:val="32"/>
          <w:u w:val="single"/>
        </w:rPr>
        <w:t xml:space="preserve"> Q3</w:t>
      </w:r>
    </w:p>
    <w:p w:rsidR="00A82CEA" w:rsidRPr="00801ACE" w:rsidRDefault="00A82CEA" w:rsidP="00E25096">
      <w:pPr>
        <w:jc w:val="both"/>
        <w:rPr>
          <w:b/>
          <w:sz w:val="21"/>
          <w:szCs w:val="21"/>
          <w:u w:val="single"/>
        </w:rPr>
      </w:pPr>
      <w:r w:rsidRPr="00801ACE">
        <w:rPr>
          <w:b/>
          <w:sz w:val="21"/>
          <w:szCs w:val="21"/>
          <w:u w:val="single"/>
        </w:rPr>
        <w:t>Key Points</w:t>
      </w:r>
    </w:p>
    <w:p w:rsidR="00944E01" w:rsidRPr="00D94703" w:rsidRDefault="00FE3FE6" w:rsidP="00FE3FE6">
      <w:pPr>
        <w:pStyle w:val="Default"/>
        <w:numPr>
          <w:ilvl w:val="0"/>
          <w:numId w:val="3"/>
        </w:numPr>
        <w:spacing w:line="360" w:lineRule="auto"/>
        <w:rPr>
          <w:rFonts w:asciiTheme="minorHAnsi" w:hAnsiTheme="minorHAnsi" w:cstheme="minorHAnsi"/>
          <w:i/>
          <w:color w:val="222A35" w:themeColor="text2" w:themeShade="80"/>
          <w:sz w:val="19"/>
          <w:szCs w:val="19"/>
        </w:rPr>
      </w:pPr>
      <w:r w:rsidRPr="00D94703">
        <w:rPr>
          <w:rFonts w:asciiTheme="minorHAnsi" w:hAnsiTheme="minorHAnsi" w:cstheme="minorHAnsi"/>
          <w:i/>
          <w:color w:val="222A35" w:themeColor="text2" w:themeShade="80"/>
          <w:sz w:val="19"/>
          <w:szCs w:val="19"/>
        </w:rPr>
        <w:t xml:space="preserve">BTP has continued to adapt to </w:t>
      </w:r>
      <w:r w:rsidR="00AA5C64" w:rsidRPr="00D94703">
        <w:rPr>
          <w:rFonts w:asciiTheme="minorHAnsi" w:hAnsiTheme="minorHAnsi" w:cstheme="minorHAnsi"/>
          <w:i/>
          <w:color w:val="222A35" w:themeColor="text2" w:themeShade="80"/>
          <w:sz w:val="19"/>
          <w:szCs w:val="19"/>
        </w:rPr>
        <w:t xml:space="preserve">the </w:t>
      </w:r>
      <w:r w:rsidRPr="00D94703">
        <w:rPr>
          <w:rFonts w:asciiTheme="minorHAnsi" w:hAnsiTheme="minorHAnsi" w:cstheme="minorHAnsi"/>
          <w:i/>
          <w:color w:val="222A35" w:themeColor="text2" w:themeShade="80"/>
          <w:sz w:val="19"/>
          <w:szCs w:val="19"/>
        </w:rPr>
        <w:t>challenges presented by the pandemic</w:t>
      </w:r>
      <w:r w:rsidR="00AA5C64" w:rsidRPr="00D94703">
        <w:rPr>
          <w:rFonts w:asciiTheme="minorHAnsi" w:hAnsiTheme="minorHAnsi" w:cstheme="minorHAnsi"/>
          <w:i/>
          <w:color w:val="222A35" w:themeColor="text2" w:themeShade="80"/>
          <w:sz w:val="19"/>
          <w:szCs w:val="19"/>
        </w:rPr>
        <w:t>. An ‘</w:t>
      </w:r>
      <w:r w:rsidRPr="00D94703">
        <w:rPr>
          <w:rFonts w:asciiTheme="minorHAnsi" w:hAnsiTheme="minorHAnsi" w:cstheme="minorHAnsi"/>
          <w:i/>
          <w:color w:val="222A35" w:themeColor="text2" w:themeShade="80"/>
          <w:sz w:val="19"/>
          <w:szCs w:val="19"/>
        </w:rPr>
        <w:t>enhanced postur</w:t>
      </w:r>
      <w:r w:rsidR="00D94703" w:rsidRPr="00D94703">
        <w:rPr>
          <w:rFonts w:asciiTheme="minorHAnsi" w:hAnsiTheme="minorHAnsi" w:cstheme="minorHAnsi"/>
          <w:i/>
          <w:color w:val="222A35" w:themeColor="text2" w:themeShade="80"/>
          <w:sz w:val="19"/>
          <w:szCs w:val="19"/>
        </w:rPr>
        <w:t>e</w:t>
      </w:r>
      <w:r w:rsidR="00AA5C64" w:rsidRPr="00D94703">
        <w:rPr>
          <w:rFonts w:asciiTheme="minorHAnsi" w:hAnsiTheme="minorHAnsi" w:cstheme="minorHAnsi"/>
          <w:i/>
          <w:color w:val="222A35" w:themeColor="text2" w:themeShade="80"/>
          <w:sz w:val="19"/>
          <w:szCs w:val="19"/>
        </w:rPr>
        <w:t>’ has seen</w:t>
      </w:r>
      <w:r w:rsidR="00D94703" w:rsidRPr="00D94703">
        <w:rPr>
          <w:rFonts w:asciiTheme="minorHAnsi" w:hAnsiTheme="minorHAnsi" w:cstheme="minorHAnsi"/>
          <w:i/>
          <w:color w:val="222A35" w:themeColor="text2" w:themeShade="80"/>
          <w:sz w:val="19"/>
          <w:szCs w:val="19"/>
        </w:rPr>
        <w:t xml:space="preserve"> increased</w:t>
      </w:r>
      <w:r w:rsidRPr="00D94703">
        <w:rPr>
          <w:rFonts w:asciiTheme="minorHAnsi" w:hAnsiTheme="minorHAnsi" w:cstheme="minorHAnsi"/>
          <w:i/>
          <w:color w:val="222A35" w:themeColor="text2" w:themeShade="80"/>
          <w:sz w:val="19"/>
          <w:szCs w:val="19"/>
        </w:rPr>
        <w:t xml:space="preserve"> focus on visibility and proactivity to ensure</w:t>
      </w:r>
      <w:r w:rsidR="00D94703" w:rsidRPr="00D94703">
        <w:rPr>
          <w:rFonts w:asciiTheme="minorHAnsi" w:hAnsiTheme="minorHAnsi" w:cstheme="minorHAnsi"/>
          <w:i/>
          <w:color w:val="222A35" w:themeColor="text2" w:themeShade="80"/>
          <w:sz w:val="19"/>
          <w:szCs w:val="19"/>
        </w:rPr>
        <w:t xml:space="preserve"> </w:t>
      </w:r>
      <w:r w:rsidR="00D94703">
        <w:rPr>
          <w:rFonts w:asciiTheme="minorHAnsi" w:hAnsiTheme="minorHAnsi" w:cstheme="minorHAnsi"/>
          <w:i/>
          <w:color w:val="222A35" w:themeColor="text2" w:themeShade="80"/>
          <w:sz w:val="19"/>
          <w:szCs w:val="19"/>
        </w:rPr>
        <w:t xml:space="preserve">safety and </w:t>
      </w:r>
      <w:r w:rsidRPr="00D94703">
        <w:rPr>
          <w:rFonts w:asciiTheme="minorHAnsi" w:hAnsiTheme="minorHAnsi" w:cstheme="minorHAnsi"/>
          <w:i/>
          <w:color w:val="222A35" w:themeColor="text2" w:themeShade="80"/>
          <w:sz w:val="19"/>
          <w:szCs w:val="19"/>
        </w:rPr>
        <w:t>compliance with regulations</w:t>
      </w:r>
      <w:r w:rsidR="00D94703" w:rsidRPr="00D94703">
        <w:rPr>
          <w:rFonts w:asciiTheme="minorHAnsi" w:hAnsiTheme="minorHAnsi" w:cstheme="minorHAnsi"/>
          <w:i/>
          <w:color w:val="222A35" w:themeColor="text2" w:themeShade="80"/>
          <w:sz w:val="19"/>
          <w:szCs w:val="19"/>
        </w:rPr>
        <w:t>.</w:t>
      </w:r>
    </w:p>
    <w:p w:rsidR="00FE3FE6" w:rsidRPr="00D94703" w:rsidRDefault="00FE3FE6" w:rsidP="00B906DD">
      <w:pPr>
        <w:pStyle w:val="ListParagraph"/>
        <w:numPr>
          <w:ilvl w:val="0"/>
          <w:numId w:val="3"/>
        </w:numPr>
        <w:spacing w:after="0" w:line="360" w:lineRule="auto"/>
        <w:jc w:val="both"/>
        <w:rPr>
          <w:rFonts w:cstheme="minorHAnsi"/>
          <w:i/>
          <w:color w:val="222A35" w:themeColor="text2" w:themeShade="80"/>
          <w:sz w:val="19"/>
          <w:szCs w:val="19"/>
        </w:rPr>
      </w:pPr>
      <w:r w:rsidRPr="00D94703">
        <w:rPr>
          <w:rFonts w:cstheme="minorHAnsi"/>
          <w:i/>
          <w:color w:val="222A35" w:themeColor="text2" w:themeShade="80"/>
          <w:sz w:val="19"/>
          <w:szCs w:val="19"/>
        </w:rPr>
        <w:t xml:space="preserve">The effects of </w:t>
      </w:r>
      <w:r w:rsidR="0033726F" w:rsidRPr="00D94703">
        <w:rPr>
          <w:rFonts w:cstheme="minorHAnsi"/>
          <w:i/>
          <w:color w:val="222A35" w:themeColor="text2" w:themeShade="80"/>
          <w:sz w:val="19"/>
          <w:szCs w:val="19"/>
        </w:rPr>
        <w:t>COVID continue</w:t>
      </w:r>
      <w:r w:rsidRPr="00D94703">
        <w:rPr>
          <w:rFonts w:cstheme="minorHAnsi"/>
          <w:i/>
          <w:color w:val="222A35" w:themeColor="text2" w:themeShade="80"/>
          <w:sz w:val="19"/>
          <w:szCs w:val="19"/>
        </w:rPr>
        <w:t xml:space="preserve"> to be seen in</w:t>
      </w:r>
      <w:r w:rsidR="00D94703">
        <w:rPr>
          <w:rFonts w:cstheme="minorHAnsi"/>
          <w:i/>
          <w:color w:val="222A35" w:themeColor="text2" w:themeShade="80"/>
          <w:sz w:val="19"/>
          <w:szCs w:val="19"/>
        </w:rPr>
        <w:t xml:space="preserve"> both</w:t>
      </w:r>
      <w:r w:rsidRPr="00D94703">
        <w:rPr>
          <w:rFonts w:cstheme="minorHAnsi"/>
          <w:i/>
          <w:color w:val="222A35" w:themeColor="text2" w:themeShade="80"/>
          <w:sz w:val="19"/>
          <w:szCs w:val="19"/>
        </w:rPr>
        <w:t xml:space="preserve"> the level</w:t>
      </w:r>
      <w:r w:rsidR="00A1191D" w:rsidRPr="00D94703">
        <w:rPr>
          <w:rFonts w:cstheme="minorHAnsi"/>
          <w:i/>
          <w:color w:val="222A35" w:themeColor="text2" w:themeShade="80"/>
          <w:sz w:val="19"/>
          <w:szCs w:val="19"/>
        </w:rPr>
        <w:t xml:space="preserve"> and nature of crime </w:t>
      </w:r>
      <w:r w:rsidR="00D94703" w:rsidRPr="00D94703">
        <w:rPr>
          <w:rFonts w:cstheme="minorHAnsi"/>
          <w:i/>
          <w:color w:val="222A35" w:themeColor="text2" w:themeShade="80"/>
          <w:sz w:val="19"/>
          <w:szCs w:val="19"/>
        </w:rPr>
        <w:t xml:space="preserve">on the rail network in Scotland. Overall, crime </w:t>
      </w:r>
      <w:r w:rsidR="00D94703">
        <w:rPr>
          <w:rFonts w:cstheme="minorHAnsi"/>
          <w:i/>
          <w:color w:val="222A35" w:themeColor="text2" w:themeShade="80"/>
          <w:sz w:val="19"/>
          <w:szCs w:val="19"/>
        </w:rPr>
        <w:t>-</w:t>
      </w:r>
      <w:r w:rsidR="00D94703" w:rsidRPr="00D94703">
        <w:rPr>
          <w:rFonts w:cstheme="minorHAnsi"/>
          <w:i/>
          <w:color w:val="222A35" w:themeColor="text2" w:themeShade="80"/>
          <w:sz w:val="19"/>
          <w:szCs w:val="19"/>
        </w:rPr>
        <w:t xml:space="preserve">30% </w:t>
      </w:r>
      <w:r w:rsidR="00D94703">
        <w:rPr>
          <w:rFonts w:cstheme="minorHAnsi"/>
          <w:i/>
          <w:color w:val="222A35" w:themeColor="text2" w:themeShade="80"/>
          <w:sz w:val="19"/>
          <w:szCs w:val="19"/>
        </w:rPr>
        <w:t>on</w:t>
      </w:r>
      <w:r w:rsidR="00D94703" w:rsidRPr="00D94703">
        <w:rPr>
          <w:rFonts w:cstheme="minorHAnsi"/>
          <w:i/>
          <w:color w:val="222A35" w:themeColor="text2" w:themeShade="80"/>
          <w:sz w:val="19"/>
          <w:szCs w:val="19"/>
        </w:rPr>
        <w:t xml:space="preserve"> last year and there has been</w:t>
      </w:r>
      <w:r w:rsidR="00AA5C64" w:rsidRPr="00D94703">
        <w:rPr>
          <w:rFonts w:cstheme="minorHAnsi"/>
          <w:i/>
          <w:color w:val="222A35" w:themeColor="text2" w:themeShade="80"/>
          <w:sz w:val="19"/>
          <w:szCs w:val="19"/>
        </w:rPr>
        <w:t xml:space="preserve"> very</w:t>
      </w:r>
      <w:r w:rsidRPr="00D94703">
        <w:rPr>
          <w:rFonts w:cstheme="minorHAnsi"/>
          <w:i/>
          <w:color w:val="222A35" w:themeColor="text2" w:themeShade="80"/>
          <w:sz w:val="19"/>
          <w:szCs w:val="19"/>
        </w:rPr>
        <w:t xml:space="preserve"> low level</w:t>
      </w:r>
      <w:r w:rsidR="00D94703" w:rsidRPr="00D94703">
        <w:rPr>
          <w:rFonts w:cstheme="minorHAnsi"/>
          <w:i/>
          <w:color w:val="222A35" w:themeColor="text2" w:themeShade="80"/>
          <w:sz w:val="19"/>
          <w:szCs w:val="19"/>
        </w:rPr>
        <w:t>s</w:t>
      </w:r>
      <w:r w:rsidRPr="00D94703">
        <w:rPr>
          <w:rFonts w:cstheme="minorHAnsi"/>
          <w:i/>
          <w:color w:val="222A35" w:themeColor="text2" w:themeShade="80"/>
          <w:sz w:val="19"/>
          <w:szCs w:val="19"/>
        </w:rPr>
        <w:t xml:space="preserve"> of serious violence, robbery </w:t>
      </w:r>
      <w:r w:rsidR="00D94703" w:rsidRPr="00D94703">
        <w:rPr>
          <w:rFonts w:cstheme="minorHAnsi"/>
          <w:i/>
          <w:color w:val="222A35" w:themeColor="text2" w:themeShade="80"/>
          <w:sz w:val="19"/>
          <w:szCs w:val="19"/>
        </w:rPr>
        <w:t>and</w:t>
      </w:r>
      <w:r w:rsidRPr="00D94703">
        <w:rPr>
          <w:rFonts w:cstheme="minorHAnsi"/>
          <w:i/>
          <w:color w:val="222A35" w:themeColor="text2" w:themeShade="80"/>
          <w:sz w:val="19"/>
          <w:szCs w:val="19"/>
        </w:rPr>
        <w:t xml:space="preserve"> sexual crime</w:t>
      </w:r>
      <w:r w:rsidR="00AA5C64" w:rsidRPr="00D94703">
        <w:rPr>
          <w:rFonts w:cstheme="minorHAnsi"/>
          <w:i/>
          <w:color w:val="222A35" w:themeColor="text2" w:themeShade="80"/>
          <w:sz w:val="19"/>
          <w:szCs w:val="19"/>
        </w:rPr>
        <w:t>.</w:t>
      </w:r>
    </w:p>
    <w:p w:rsidR="00E25096" w:rsidRPr="00D94703" w:rsidRDefault="00FE3FE6" w:rsidP="00B96B90">
      <w:pPr>
        <w:pStyle w:val="Default"/>
        <w:numPr>
          <w:ilvl w:val="0"/>
          <w:numId w:val="3"/>
        </w:numPr>
        <w:spacing w:line="276" w:lineRule="auto"/>
        <w:ind w:left="714" w:hanging="357"/>
        <w:jc w:val="both"/>
        <w:rPr>
          <w:rFonts w:asciiTheme="minorHAnsi" w:hAnsiTheme="minorHAnsi" w:cstheme="minorHAnsi"/>
          <w:i/>
          <w:color w:val="222A35" w:themeColor="text2" w:themeShade="80"/>
          <w:sz w:val="19"/>
          <w:szCs w:val="19"/>
        </w:rPr>
      </w:pPr>
      <w:r w:rsidRPr="00D94703">
        <w:rPr>
          <w:rFonts w:asciiTheme="minorHAnsi" w:hAnsiTheme="minorHAnsi" w:cstheme="minorHAnsi"/>
          <w:i/>
          <w:color w:val="222A35" w:themeColor="text2" w:themeShade="80"/>
          <w:sz w:val="19"/>
          <w:szCs w:val="19"/>
        </w:rPr>
        <w:t xml:space="preserve">Throughout Quarter 3 (Q3) </w:t>
      </w:r>
      <w:r w:rsidR="00E25096" w:rsidRPr="00D94703">
        <w:rPr>
          <w:rFonts w:asciiTheme="minorHAnsi" w:hAnsiTheme="minorHAnsi" w:cstheme="minorHAnsi"/>
          <w:i/>
          <w:color w:val="222A35" w:themeColor="text2" w:themeShade="80"/>
          <w:sz w:val="19"/>
          <w:szCs w:val="19"/>
        </w:rPr>
        <w:t xml:space="preserve">BTP </w:t>
      </w:r>
      <w:r w:rsidR="00991936" w:rsidRPr="00D94703">
        <w:rPr>
          <w:rFonts w:asciiTheme="minorHAnsi" w:hAnsiTheme="minorHAnsi" w:cstheme="minorHAnsi"/>
          <w:i/>
          <w:color w:val="222A35" w:themeColor="text2" w:themeShade="80"/>
          <w:sz w:val="19"/>
          <w:szCs w:val="19"/>
        </w:rPr>
        <w:t>continued to work</w:t>
      </w:r>
      <w:r w:rsidR="00B96B90" w:rsidRPr="00D94703">
        <w:rPr>
          <w:rFonts w:asciiTheme="minorHAnsi" w:hAnsiTheme="minorHAnsi" w:cstheme="minorHAnsi"/>
          <w:i/>
          <w:color w:val="222A35" w:themeColor="text2" w:themeShade="80"/>
          <w:sz w:val="19"/>
          <w:szCs w:val="19"/>
        </w:rPr>
        <w:t xml:space="preserve"> alongside</w:t>
      </w:r>
      <w:r w:rsidR="00E25096" w:rsidRPr="00D94703">
        <w:rPr>
          <w:rFonts w:asciiTheme="minorHAnsi" w:hAnsiTheme="minorHAnsi" w:cstheme="minorHAnsi"/>
          <w:i/>
          <w:color w:val="222A35" w:themeColor="text2" w:themeShade="80"/>
          <w:sz w:val="19"/>
          <w:szCs w:val="19"/>
        </w:rPr>
        <w:t xml:space="preserve"> partners to achieve national and local objectives in reducing crime and disruption and protecting </w:t>
      </w:r>
      <w:r w:rsidR="00B96B90" w:rsidRPr="00D94703">
        <w:rPr>
          <w:rFonts w:asciiTheme="minorHAnsi" w:hAnsiTheme="minorHAnsi" w:cstheme="minorHAnsi"/>
          <w:i/>
          <w:color w:val="222A35" w:themeColor="text2" w:themeShade="80"/>
          <w:sz w:val="19"/>
          <w:szCs w:val="19"/>
        </w:rPr>
        <w:t>staff and the travelling public</w:t>
      </w:r>
      <w:r w:rsidR="00DF2F22">
        <w:rPr>
          <w:rFonts w:asciiTheme="minorHAnsi" w:hAnsiTheme="minorHAnsi" w:cstheme="minorHAnsi"/>
          <w:i/>
          <w:color w:val="222A35" w:themeColor="text2" w:themeShade="80"/>
          <w:sz w:val="19"/>
          <w:szCs w:val="19"/>
        </w:rPr>
        <w:t>.</w:t>
      </w:r>
    </w:p>
    <w:p w:rsidR="00B96B90" w:rsidRDefault="00B96B90" w:rsidP="000C21CE">
      <w:pPr>
        <w:pStyle w:val="Default"/>
        <w:spacing w:line="276" w:lineRule="auto"/>
        <w:ind w:left="357"/>
        <w:jc w:val="both"/>
        <w:rPr>
          <w:rFonts w:asciiTheme="minorHAnsi" w:hAnsiTheme="minorHAnsi" w:cstheme="minorHAnsi"/>
          <w:color w:val="1F3864" w:themeColor="accent1" w:themeShade="80"/>
          <w:sz w:val="20"/>
          <w:szCs w:val="20"/>
        </w:rPr>
      </w:pPr>
    </w:p>
    <w:p w:rsidR="00A82CEA" w:rsidRPr="009B2621" w:rsidRDefault="00A82CEA" w:rsidP="00A82CEA">
      <w:pPr>
        <w:rPr>
          <w:rFonts w:cstheme="minorHAnsi"/>
          <w:b/>
          <w:color w:val="000000"/>
          <w:sz w:val="21"/>
          <w:szCs w:val="21"/>
          <w:u w:val="single"/>
        </w:rPr>
      </w:pPr>
      <w:r w:rsidRPr="00ED1268">
        <w:rPr>
          <w:rFonts w:cstheme="minorHAnsi"/>
          <w:b/>
          <w:color w:val="000000"/>
          <w:sz w:val="21"/>
          <w:szCs w:val="21"/>
          <w:u w:val="single"/>
        </w:rPr>
        <w:t>COVID</w:t>
      </w:r>
      <w:r>
        <w:rPr>
          <w:rFonts w:cstheme="minorHAnsi"/>
          <w:b/>
          <w:color w:val="000000"/>
          <w:sz w:val="21"/>
          <w:szCs w:val="21"/>
          <w:u w:val="single"/>
        </w:rPr>
        <w:t xml:space="preserve">-19 </w:t>
      </w:r>
      <w:r w:rsidRPr="00ED1268">
        <w:rPr>
          <w:rFonts w:cstheme="minorHAnsi"/>
          <w:b/>
          <w:color w:val="000000"/>
          <w:sz w:val="21"/>
          <w:szCs w:val="21"/>
          <w:u w:val="single"/>
        </w:rPr>
        <w:t>Policing Response</w:t>
      </w:r>
    </w:p>
    <w:p w:rsidR="009426A0" w:rsidRPr="00E41322" w:rsidRDefault="00A82CEA" w:rsidP="00A82CEA">
      <w:pPr>
        <w:jc w:val="both"/>
        <w:rPr>
          <w:sz w:val="20"/>
          <w:szCs w:val="21"/>
        </w:rPr>
      </w:pPr>
      <w:r w:rsidRPr="000A4B16">
        <w:rPr>
          <w:b/>
          <w:i/>
          <w:sz w:val="20"/>
          <w:szCs w:val="21"/>
        </w:rPr>
        <w:t>Engage, Explain, Encourage and Enforce</w:t>
      </w:r>
      <w:r w:rsidR="00EC099D" w:rsidRPr="000A4B16">
        <w:rPr>
          <w:b/>
          <w:sz w:val="20"/>
          <w:szCs w:val="21"/>
        </w:rPr>
        <w:t xml:space="preserve"> </w:t>
      </w:r>
      <w:r w:rsidR="00B96B90" w:rsidRPr="000A4B16">
        <w:rPr>
          <w:b/>
          <w:sz w:val="20"/>
          <w:szCs w:val="21"/>
        </w:rPr>
        <w:t>ha</w:t>
      </w:r>
      <w:r w:rsidR="00FE4C95" w:rsidRPr="000A4B16">
        <w:rPr>
          <w:b/>
          <w:sz w:val="20"/>
          <w:szCs w:val="21"/>
        </w:rPr>
        <w:t>s</w:t>
      </w:r>
      <w:r w:rsidR="00B96B90" w:rsidRPr="000A4B16">
        <w:rPr>
          <w:b/>
          <w:sz w:val="20"/>
          <w:szCs w:val="21"/>
        </w:rPr>
        <w:t xml:space="preserve"> </w:t>
      </w:r>
      <w:r w:rsidR="0033726F" w:rsidRPr="000A4B16">
        <w:rPr>
          <w:b/>
          <w:sz w:val="20"/>
          <w:szCs w:val="21"/>
        </w:rPr>
        <w:t>been the</w:t>
      </w:r>
      <w:r w:rsidR="000774CB" w:rsidRPr="000A4B16">
        <w:rPr>
          <w:b/>
          <w:sz w:val="20"/>
          <w:szCs w:val="21"/>
        </w:rPr>
        <w:t xml:space="preserve"> consistent</w:t>
      </w:r>
      <w:r w:rsidR="00EC099D" w:rsidRPr="000A4B16">
        <w:rPr>
          <w:b/>
          <w:sz w:val="20"/>
          <w:szCs w:val="21"/>
        </w:rPr>
        <w:t xml:space="preserve"> method of approach </w:t>
      </w:r>
      <w:r w:rsidR="00BD035E" w:rsidRPr="000A4B16">
        <w:rPr>
          <w:b/>
          <w:sz w:val="20"/>
          <w:szCs w:val="21"/>
        </w:rPr>
        <w:t>undertaken by</w:t>
      </w:r>
      <w:r w:rsidR="00495D76" w:rsidRPr="000A4B16">
        <w:rPr>
          <w:b/>
          <w:sz w:val="20"/>
          <w:szCs w:val="21"/>
        </w:rPr>
        <w:t xml:space="preserve"> frontline officers</w:t>
      </w:r>
      <w:r w:rsidR="0033726F" w:rsidRPr="000A4B16">
        <w:rPr>
          <w:b/>
          <w:sz w:val="20"/>
          <w:szCs w:val="21"/>
        </w:rPr>
        <w:t xml:space="preserve"> throughout the pandemic</w:t>
      </w:r>
      <w:r w:rsidR="00A1191D" w:rsidRPr="000A4B16">
        <w:rPr>
          <w:b/>
          <w:sz w:val="20"/>
          <w:szCs w:val="21"/>
        </w:rPr>
        <w:t xml:space="preserve"> and o</w:t>
      </w:r>
      <w:r w:rsidR="00EC099D" w:rsidRPr="000A4B16">
        <w:rPr>
          <w:b/>
          <w:sz w:val="20"/>
          <w:szCs w:val="21"/>
        </w:rPr>
        <w:t>ver the past 3 months, h</w:t>
      </w:r>
      <w:r w:rsidRPr="000A4B16">
        <w:rPr>
          <w:b/>
          <w:sz w:val="20"/>
          <w:szCs w:val="21"/>
        </w:rPr>
        <w:t>igh visibility patrols</w:t>
      </w:r>
      <w:r w:rsidR="00AA2DF0" w:rsidRPr="000A4B16">
        <w:rPr>
          <w:b/>
          <w:sz w:val="20"/>
          <w:szCs w:val="21"/>
        </w:rPr>
        <w:t xml:space="preserve"> have</w:t>
      </w:r>
      <w:r w:rsidRPr="000A4B16">
        <w:rPr>
          <w:b/>
          <w:sz w:val="20"/>
          <w:szCs w:val="21"/>
        </w:rPr>
        <w:t xml:space="preserve"> </w:t>
      </w:r>
      <w:r w:rsidR="00EC099D" w:rsidRPr="000A4B16">
        <w:rPr>
          <w:b/>
          <w:sz w:val="20"/>
          <w:szCs w:val="21"/>
        </w:rPr>
        <w:t>continued</w:t>
      </w:r>
      <w:r w:rsidRPr="000A4B16">
        <w:rPr>
          <w:b/>
          <w:sz w:val="20"/>
          <w:szCs w:val="21"/>
        </w:rPr>
        <w:t xml:space="preserve"> </w:t>
      </w:r>
      <w:r w:rsidR="00EC099D" w:rsidRPr="000A4B16">
        <w:rPr>
          <w:b/>
          <w:sz w:val="20"/>
          <w:szCs w:val="21"/>
        </w:rPr>
        <w:t xml:space="preserve">across </w:t>
      </w:r>
      <w:r w:rsidRPr="000A4B16">
        <w:rPr>
          <w:b/>
          <w:sz w:val="20"/>
          <w:szCs w:val="21"/>
        </w:rPr>
        <w:t>the division to support staff and engage with members of the public</w:t>
      </w:r>
      <w:r w:rsidR="00991936" w:rsidRPr="000A4B16">
        <w:rPr>
          <w:b/>
          <w:sz w:val="20"/>
          <w:szCs w:val="21"/>
        </w:rPr>
        <w:t>.</w:t>
      </w:r>
      <w:r w:rsidR="00991936" w:rsidRPr="000A4B16">
        <w:rPr>
          <w:sz w:val="20"/>
          <w:szCs w:val="21"/>
        </w:rPr>
        <w:t xml:space="preserve"> T</w:t>
      </w:r>
      <w:r w:rsidR="00B96B90" w:rsidRPr="000A4B16">
        <w:rPr>
          <w:sz w:val="20"/>
          <w:szCs w:val="21"/>
        </w:rPr>
        <w:t xml:space="preserve">he introduction of the </w:t>
      </w:r>
      <w:r w:rsidR="00991936" w:rsidRPr="000A4B16">
        <w:rPr>
          <w:sz w:val="20"/>
          <w:szCs w:val="21"/>
        </w:rPr>
        <w:t>T</w:t>
      </w:r>
      <w:r w:rsidR="00B96B90" w:rsidRPr="000A4B16">
        <w:rPr>
          <w:sz w:val="20"/>
          <w:szCs w:val="21"/>
        </w:rPr>
        <w:t xml:space="preserve">ier </w:t>
      </w:r>
      <w:r w:rsidR="00991936" w:rsidRPr="000A4B16">
        <w:rPr>
          <w:sz w:val="20"/>
          <w:szCs w:val="21"/>
        </w:rPr>
        <w:t>S</w:t>
      </w:r>
      <w:r w:rsidR="00B96B90" w:rsidRPr="000A4B16">
        <w:rPr>
          <w:sz w:val="20"/>
          <w:szCs w:val="21"/>
        </w:rPr>
        <w:t xml:space="preserve">ystem and subsequent </w:t>
      </w:r>
      <w:r w:rsidR="00AA5C64" w:rsidRPr="000A4B16">
        <w:rPr>
          <w:sz w:val="20"/>
          <w:szCs w:val="21"/>
        </w:rPr>
        <w:t xml:space="preserve">January </w:t>
      </w:r>
      <w:r w:rsidR="00B96B90" w:rsidRPr="000A4B16">
        <w:rPr>
          <w:sz w:val="20"/>
          <w:szCs w:val="21"/>
        </w:rPr>
        <w:t xml:space="preserve">Lockdown </w:t>
      </w:r>
      <w:r w:rsidR="00991936" w:rsidRPr="000A4B16">
        <w:rPr>
          <w:sz w:val="20"/>
          <w:szCs w:val="21"/>
        </w:rPr>
        <w:t xml:space="preserve">heralded </w:t>
      </w:r>
      <w:r w:rsidR="00D94703" w:rsidRPr="000A4B16">
        <w:rPr>
          <w:sz w:val="20"/>
          <w:szCs w:val="21"/>
        </w:rPr>
        <w:t>the</w:t>
      </w:r>
      <w:r w:rsidR="00A1191D" w:rsidRPr="000A4B16">
        <w:rPr>
          <w:sz w:val="20"/>
          <w:szCs w:val="21"/>
        </w:rPr>
        <w:t xml:space="preserve"> </w:t>
      </w:r>
      <w:r w:rsidR="00044231" w:rsidRPr="000A4B16">
        <w:rPr>
          <w:sz w:val="20"/>
          <w:szCs w:val="21"/>
        </w:rPr>
        <w:t>adoption of an ‘enhanced enforcement posture’</w:t>
      </w:r>
      <w:r w:rsidR="00AA5C64" w:rsidRPr="000A4B16">
        <w:rPr>
          <w:sz w:val="20"/>
          <w:szCs w:val="21"/>
        </w:rPr>
        <w:t xml:space="preserve"> and this</w:t>
      </w:r>
      <w:r w:rsidR="0033726F" w:rsidRPr="000A4B16">
        <w:rPr>
          <w:sz w:val="20"/>
          <w:szCs w:val="21"/>
        </w:rPr>
        <w:t xml:space="preserve"> has seen</w:t>
      </w:r>
      <w:r w:rsidR="00FE4C95" w:rsidRPr="000A4B16">
        <w:rPr>
          <w:sz w:val="20"/>
          <w:szCs w:val="21"/>
        </w:rPr>
        <w:t xml:space="preserve"> </w:t>
      </w:r>
      <w:r w:rsidR="00D94703" w:rsidRPr="000A4B16">
        <w:rPr>
          <w:sz w:val="20"/>
          <w:szCs w:val="21"/>
        </w:rPr>
        <w:t xml:space="preserve">an </w:t>
      </w:r>
      <w:r w:rsidR="00FE4C95" w:rsidRPr="000A4B16">
        <w:rPr>
          <w:sz w:val="20"/>
          <w:szCs w:val="21"/>
        </w:rPr>
        <w:t>i</w:t>
      </w:r>
      <w:r w:rsidR="00044231" w:rsidRPr="000A4B16">
        <w:rPr>
          <w:sz w:val="20"/>
          <w:szCs w:val="21"/>
        </w:rPr>
        <w:t xml:space="preserve">ncreased </w:t>
      </w:r>
      <w:r w:rsidR="00A1191D" w:rsidRPr="000A4B16">
        <w:rPr>
          <w:sz w:val="20"/>
          <w:szCs w:val="21"/>
        </w:rPr>
        <w:t xml:space="preserve">focus on visibility and </w:t>
      </w:r>
      <w:r w:rsidR="00044231" w:rsidRPr="000A4B16">
        <w:rPr>
          <w:sz w:val="20"/>
          <w:szCs w:val="21"/>
        </w:rPr>
        <w:t>proactivity in intervention</w:t>
      </w:r>
      <w:r w:rsidR="00D94703" w:rsidRPr="000A4B16">
        <w:rPr>
          <w:sz w:val="20"/>
          <w:szCs w:val="21"/>
        </w:rPr>
        <w:t xml:space="preserve"> for</w:t>
      </w:r>
      <w:r w:rsidR="00A1191D" w:rsidRPr="000A4B16">
        <w:rPr>
          <w:sz w:val="20"/>
          <w:szCs w:val="21"/>
        </w:rPr>
        <w:t xml:space="preserve"> regulation </w:t>
      </w:r>
      <w:r w:rsidR="00AA5C64" w:rsidRPr="000A4B16">
        <w:rPr>
          <w:sz w:val="20"/>
          <w:szCs w:val="21"/>
        </w:rPr>
        <w:t>breaches</w:t>
      </w:r>
      <w:r w:rsidR="0033726F" w:rsidRPr="000A4B16">
        <w:rPr>
          <w:sz w:val="20"/>
          <w:szCs w:val="21"/>
        </w:rPr>
        <w:t xml:space="preserve">. </w:t>
      </w:r>
      <w:r w:rsidR="008C3A1E">
        <w:rPr>
          <w:sz w:val="20"/>
          <w:szCs w:val="21"/>
        </w:rPr>
        <w:t xml:space="preserve">There have been </w:t>
      </w:r>
      <w:r w:rsidR="00657BDA">
        <w:rPr>
          <w:sz w:val="20"/>
          <w:szCs w:val="21"/>
        </w:rPr>
        <w:t>1193</w:t>
      </w:r>
      <w:r w:rsidR="00985AF1" w:rsidRPr="008C3A1E">
        <w:rPr>
          <w:sz w:val="20"/>
          <w:szCs w:val="21"/>
        </w:rPr>
        <w:t xml:space="preserve"> FPNs and 81,461 interventions made Force</w:t>
      </w:r>
      <w:r w:rsidR="00D041C8">
        <w:rPr>
          <w:sz w:val="20"/>
          <w:szCs w:val="21"/>
        </w:rPr>
        <w:t>-</w:t>
      </w:r>
      <w:r w:rsidR="00985AF1" w:rsidRPr="008C3A1E">
        <w:rPr>
          <w:sz w:val="20"/>
          <w:szCs w:val="21"/>
        </w:rPr>
        <w:t>wide since March 2020.</w:t>
      </w:r>
      <w:r w:rsidR="00E41322">
        <w:rPr>
          <w:sz w:val="20"/>
          <w:szCs w:val="21"/>
        </w:rPr>
        <w:t xml:space="preserve"> O</w:t>
      </w:r>
      <w:r w:rsidR="0033726F" w:rsidRPr="000A4B16">
        <w:rPr>
          <w:sz w:val="20"/>
          <w:szCs w:val="21"/>
        </w:rPr>
        <w:t xml:space="preserve">fficers </w:t>
      </w:r>
      <w:r w:rsidR="00D94703" w:rsidRPr="000A4B16">
        <w:rPr>
          <w:sz w:val="20"/>
          <w:szCs w:val="21"/>
        </w:rPr>
        <w:t>are</w:t>
      </w:r>
      <w:r w:rsidR="0033726F" w:rsidRPr="000A4B16">
        <w:rPr>
          <w:sz w:val="20"/>
          <w:szCs w:val="21"/>
        </w:rPr>
        <w:t xml:space="preserve"> encouraged to use Fixed Penalty Notices</w:t>
      </w:r>
      <w:r w:rsidR="00A1191D" w:rsidRPr="000A4B16">
        <w:rPr>
          <w:sz w:val="20"/>
          <w:szCs w:val="21"/>
        </w:rPr>
        <w:t xml:space="preserve"> (FPNs)</w:t>
      </w:r>
      <w:r w:rsidR="0033726F" w:rsidRPr="000A4B16">
        <w:rPr>
          <w:sz w:val="20"/>
          <w:szCs w:val="21"/>
        </w:rPr>
        <w:t xml:space="preserve"> w</w:t>
      </w:r>
      <w:r w:rsidR="00044231" w:rsidRPr="000A4B16">
        <w:rPr>
          <w:sz w:val="20"/>
          <w:szCs w:val="21"/>
        </w:rPr>
        <w:t xml:space="preserve">here </w:t>
      </w:r>
      <w:r w:rsidR="0033726F" w:rsidRPr="000A4B16">
        <w:rPr>
          <w:sz w:val="20"/>
          <w:szCs w:val="21"/>
        </w:rPr>
        <w:t xml:space="preserve">a </w:t>
      </w:r>
      <w:r w:rsidR="00991936" w:rsidRPr="000A4B16">
        <w:rPr>
          <w:sz w:val="20"/>
          <w:szCs w:val="21"/>
        </w:rPr>
        <w:t xml:space="preserve">lack of compliance with 4E approach </w:t>
      </w:r>
      <w:r w:rsidR="0033726F" w:rsidRPr="000A4B16">
        <w:rPr>
          <w:sz w:val="20"/>
          <w:szCs w:val="21"/>
        </w:rPr>
        <w:t xml:space="preserve">is </w:t>
      </w:r>
      <w:r w:rsidR="00991936" w:rsidRPr="000A4B16">
        <w:rPr>
          <w:sz w:val="20"/>
          <w:szCs w:val="21"/>
        </w:rPr>
        <w:t>encountered</w:t>
      </w:r>
      <w:r w:rsidR="0033726F" w:rsidRPr="000A4B16">
        <w:rPr>
          <w:sz w:val="20"/>
          <w:szCs w:val="21"/>
        </w:rPr>
        <w:t xml:space="preserve">. </w:t>
      </w:r>
      <w:r w:rsidRPr="000A4B16">
        <w:rPr>
          <w:sz w:val="20"/>
          <w:szCs w:val="21"/>
        </w:rPr>
        <w:t xml:space="preserve">The table below </w:t>
      </w:r>
      <w:r w:rsidR="00991936" w:rsidRPr="000A4B16">
        <w:rPr>
          <w:sz w:val="20"/>
          <w:szCs w:val="21"/>
        </w:rPr>
        <w:t xml:space="preserve">provides further detail in relation to </w:t>
      </w:r>
      <w:r w:rsidR="00044231" w:rsidRPr="000A4B16">
        <w:rPr>
          <w:sz w:val="20"/>
          <w:szCs w:val="21"/>
        </w:rPr>
        <w:t>Q3</w:t>
      </w:r>
      <w:r w:rsidRPr="000A4B16">
        <w:rPr>
          <w:sz w:val="20"/>
          <w:szCs w:val="21"/>
        </w:rPr>
        <w:t xml:space="preserve"> policing response</w:t>
      </w:r>
      <w:r w:rsidR="00AA2DF0" w:rsidRPr="000A4B16">
        <w:rPr>
          <w:sz w:val="20"/>
          <w:szCs w:val="21"/>
        </w:rPr>
        <w:t>.</w:t>
      </w:r>
      <w:r w:rsidR="00446C0B" w:rsidRPr="000A4B16">
        <w:rPr>
          <w:sz w:val="20"/>
        </w:rPr>
        <w:t xml:space="preserve"> </w:t>
      </w:r>
    </w:p>
    <w:tbl>
      <w:tblPr>
        <w:tblW w:w="9090" w:type="dxa"/>
        <w:tblCellMar>
          <w:left w:w="0" w:type="dxa"/>
          <w:right w:w="0" w:type="dxa"/>
        </w:tblCellMar>
        <w:tblLook w:val="04A0" w:firstRow="1" w:lastRow="0" w:firstColumn="1" w:lastColumn="0" w:noHBand="0" w:noVBand="1"/>
      </w:tblPr>
      <w:tblGrid>
        <w:gridCol w:w="9090"/>
      </w:tblGrid>
      <w:tr w:rsidR="00852714" w:rsidRPr="008A2364" w:rsidTr="00DB28FF">
        <w:trPr>
          <w:trHeight w:val="733"/>
        </w:trPr>
        <w:tc>
          <w:tcPr>
            <w:tcW w:w="9090" w:type="dxa"/>
            <w:tcBorders>
              <w:top w:val="single" w:sz="8" w:space="0" w:color="000000"/>
              <w:left w:val="single" w:sz="8" w:space="0" w:color="000000"/>
              <w:bottom w:val="single" w:sz="8" w:space="0" w:color="7F7F7F"/>
              <w:right w:val="single" w:sz="8" w:space="0" w:color="000000"/>
            </w:tcBorders>
            <w:shd w:val="clear" w:color="auto" w:fill="D5DCE4" w:themeFill="text2" w:themeFillTint="33"/>
            <w:tcMar>
              <w:top w:w="15" w:type="dxa"/>
              <w:left w:w="108" w:type="dxa"/>
              <w:bottom w:w="0" w:type="dxa"/>
              <w:right w:w="108" w:type="dxa"/>
            </w:tcMar>
            <w:vAlign w:val="center"/>
            <w:hideMark/>
          </w:tcPr>
          <w:p w:rsidR="00DB28FF" w:rsidRPr="00DB28FF" w:rsidRDefault="00852714" w:rsidP="00DB28FF">
            <w:pPr>
              <w:jc w:val="center"/>
              <w:rPr>
                <w:b/>
                <w:bCs/>
                <w:sz w:val="20"/>
                <w:szCs w:val="21"/>
              </w:rPr>
            </w:pPr>
            <w:bookmarkStart w:id="1" w:name="_Hlk61419643"/>
            <w:r w:rsidRPr="00DB28FF">
              <w:rPr>
                <w:b/>
                <w:bCs/>
                <w:sz w:val="20"/>
                <w:szCs w:val="21"/>
              </w:rPr>
              <w:t>October – December</w:t>
            </w:r>
          </w:p>
        </w:tc>
      </w:tr>
      <w:tr w:rsidR="00DB28FF" w:rsidRPr="008A2364" w:rsidTr="00125E5D">
        <w:trPr>
          <w:trHeight w:val="1506"/>
        </w:trPr>
        <w:tc>
          <w:tcPr>
            <w:tcW w:w="9090" w:type="dxa"/>
            <w:tcBorders>
              <w:top w:val="single" w:sz="8" w:space="0" w:color="7F7F7F"/>
              <w:left w:val="single" w:sz="8" w:space="0" w:color="000000"/>
              <w:bottom w:val="single" w:sz="8" w:space="0" w:color="7F7F7F"/>
              <w:right w:val="single" w:sz="8" w:space="0" w:color="000000"/>
            </w:tcBorders>
            <w:shd w:val="clear" w:color="auto" w:fill="auto"/>
            <w:tcMar>
              <w:top w:w="15" w:type="dxa"/>
              <w:left w:w="108" w:type="dxa"/>
              <w:bottom w:w="0" w:type="dxa"/>
              <w:right w:w="108" w:type="dxa"/>
            </w:tcMar>
          </w:tcPr>
          <w:p w:rsidR="00DB28FF" w:rsidRPr="00D94703" w:rsidRDefault="00DB28FF" w:rsidP="00DB28FF">
            <w:pPr>
              <w:jc w:val="both"/>
              <w:rPr>
                <w:color w:val="000000" w:themeColor="text1"/>
                <w:sz w:val="18"/>
                <w:szCs w:val="18"/>
                <w14:textOutline w14:w="0" w14:cap="flat" w14:cmpd="sng" w14:algn="ctr">
                  <w14:noFill/>
                  <w14:prstDash w14:val="solid"/>
                  <w14:round/>
                </w14:textOutline>
              </w:rPr>
            </w:pPr>
            <w:r w:rsidRPr="00D94703">
              <w:rPr>
                <w:b/>
                <w:color w:val="000000" w:themeColor="text1"/>
                <w:sz w:val="18"/>
                <w:szCs w:val="18"/>
                <w14:textOutline w14:w="0" w14:cap="flat" w14:cmpd="sng" w14:algn="ctr">
                  <w14:noFill/>
                  <w14:prstDash w14:val="solid"/>
                  <w14:round/>
                </w14:textOutline>
              </w:rPr>
              <w:t>In Q3, D Division experienced ASB and namely youths travelling by train in large group</w:t>
            </w:r>
            <w:r w:rsidR="00D614B3" w:rsidRPr="00D94703">
              <w:rPr>
                <w:b/>
                <w:color w:val="000000" w:themeColor="text1"/>
                <w:sz w:val="18"/>
                <w:szCs w:val="18"/>
                <w14:textOutline w14:w="0" w14:cap="flat" w14:cmpd="sng" w14:algn="ctr">
                  <w14:noFill/>
                  <w14:prstDash w14:val="solid"/>
                  <w14:round/>
                </w14:textOutline>
              </w:rPr>
              <w:t>s</w:t>
            </w:r>
            <w:r w:rsidRPr="00D94703">
              <w:rPr>
                <w:b/>
                <w:color w:val="000000" w:themeColor="text1"/>
                <w:sz w:val="18"/>
                <w:szCs w:val="18"/>
                <w14:textOutline w14:w="0" w14:cap="flat" w14:cmpd="sng" w14:algn="ctr">
                  <w14:noFill/>
                  <w14:prstDash w14:val="solid"/>
                  <w14:round/>
                </w14:textOutline>
              </w:rPr>
              <w:t xml:space="preserve">, often without masks and not adhering to social distancing. </w:t>
            </w:r>
            <w:r w:rsidRPr="00D94703">
              <w:rPr>
                <w:color w:val="000000" w:themeColor="text1"/>
                <w:sz w:val="18"/>
                <w:szCs w:val="18"/>
                <w14:textOutline w14:w="0" w14:cap="flat" w14:cmpd="sng" w14:algn="ctr">
                  <w14:noFill/>
                  <w14:prstDash w14:val="solid"/>
                  <w14:round/>
                </w14:textOutline>
              </w:rPr>
              <w:t>Th</w:t>
            </w:r>
            <w:r w:rsidR="00F66621" w:rsidRPr="00D94703">
              <w:rPr>
                <w:color w:val="000000" w:themeColor="text1"/>
                <w:sz w:val="18"/>
                <w:szCs w:val="18"/>
                <w14:textOutline w14:w="0" w14:cap="flat" w14:cmpd="sng" w14:algn="ctr">
                  <w14:noFill/>
                  <w14:prstDash w14:val="solid"/>
                  <w14:round/>
                </w14:textOutline>
              </w:rPr>
              <w:t>is issue has affected the whole division but most notably in the</w:t>
            </w:r>
            <w:r w:rsidRPr="00D94703">
              <w:rPr>
                <w:color w:val="000000" w:themeColor="text1"/>
                <w:sz w:val="18"/>
                <w:szCs w:val="18"/>
                <w14:textOutline w14:w="0" w14:cap="flat" w14:cmpd="sng" w14:algn="ctr">
                  <w14:noFill/>
                  <w14:prstDash w14:val="solid"/>
                  <w14:round/>
                </w14:textOutline>
              </w:rPr>
              <w:t xml:space="preserve"> North</w:t>
            </w:r>
            <w:r w:rsidR="00F66621" w:rsidRPr="00D94703">
              <w:rPr>
                <w:color w:val="000000" w:themeColor="text1"/>
                <w:sz w:val="18"/>
                <w:szCs w:val="18"/>
                <w14:textOutline w14:w="0" w14:cap="flat" w14:cmpd="sng" w14:algn="ctr">
                  <w14:noFill/>
                  <w14:prstDash w14:val="solid"/>
                  <w14:round/>
                </w14:textOutline>
              </w:rPr>
              <w:t xml:space="preserve"> and Glasgow sectors</w:t>
            </w:r>
            <w:r w:rsidRPr="00D94703">
              <w:rPr>
                <w:color w:val="000000" w:themeColor="text1"/>
                <w:sz w:val="18"/>
                <w:szCs w:val="18"/>
                <w14:textOutline w14:w="0" w14:cap="flat" w14:cmpd="sng" w14:algn="ctr">
                  <w14:noFill/>
                  <w14:prstDash w14:val="solid"/>
                  <w14:round/>
                </w14:textOutline>
              </w:rPr>
              <w:t xml:space="preserve"> and officers</w:t>
            </w:r>
            <w:r w:rsidR="00F66621" w:rsidRPr="00D94703">
              <w:rPr>
                <w:color w:val="000000" w:themeColor="text1"/>
                <w:sz w:val="18"/>
                <w:szCs w:val="18"/>
                <w14:textOutline w14:w="0" w14:cap="flat" w14:cmpd="sng" w14:algn="ctr">
                  <w14:noFill/>
                  <w14:prstDash w14:val="solid"/>
                  <w14:round/>
                </w14:textOutline>
              </w:rPr>
              <w:t xml:space="preserve"> have </w:t>
            </w:r>
            <w:r w:rsidRPr="00D94703">
              <w:rPr>
                <w:color w:val="000000" w:themeColor="text1"/>
                <w:sz w:val="18"/>
                <w:szCs w:val="18"/>
                <w14:textOutline w14:w="0" w14:cap="flat" w14:cmpd="sng" w14:algn="ctr">
                  <w14:noFill/>
                  <w14:prstDash w14:val="solid"/>
                  <w14:round/>
                </w14:textOutline>
              </w:rPr>
              <w:t xml:space="preserve">engaged with partners </w:t>
            </w:r>
            <w:r w:rsidR="00F66621" w:rsidRPr="00D94703">
              <w:rPr>
                <w:color w:val="000000" w:themeColor="text1"/>
                <w:sz w:val="18"/>
                <w:szCs w:val="18"/>
                <w14:textOutline w14:w="0" w14:cap="flat" w14:cmpd="sng" w14:algn="ctr">
                  <w14:noFill/>
                  <w14:prstDash w14:val="solid"/>
                  <w14:round/>
                </w14:textOutline>
              </w:rPr>
              <w:t>to identify</w:t>
            </w:r>
            <w:r w:rsidRPr="00D94703">
              <w:rPr>
                <w:color w:val="000000" w:themeColor="text1"/>
                <w:sz w:val="18"/>
                <w:szCs w:val="18"/>
                <w14:textOutline w14:w="0" w14:cap="flat" w14:cmpd="sng" w14:algn="ctr">
                  <w14:noFill/>
                  <w14:prstDash w14:val="solid"/>
                  <w14:round/>
                </w14:textOutline>
              </w:rPr>
              <w:t xml:space="preserve"> and target key groups.</w:t>
            </w:r>
            <w:r w:rsidR="00555EA8">
              <w:rPr>
                <w:color w:val="000000" w:themeColor="text1"/>
                <w:sz w:val="18"/>
                <w:szCs w:val="18"/>
                <w14:textOutline w14:w="0" w14:cap="flat" w14:cmpd="sng" w14:algn="ctr">
                  <w14:noFill/>
                  <w14:prstDash w14:val="solid"/>
                  <w14:round/>
                </w14:textOutline>
              </w:rPr>
              <w:t xml:space="preserve"> </w:t>
            </w:r>
            <w:r w:rsidR="00125E5D">
              <w:rPr>
                <w:color w:val="000000" w:themeColor="text1"/>
                <w:sz w:val="18"/>
                <w:szCs w:val="18"/>
                <w14:textOutline w14:w="0" w14:cap="flat" w14:cmpd="sng" w14:algn="ctr">
                  <w14:noFill/>
                  <w14:prstDash w14:val="solid"/>
                  <w14:round/>
                </w14:textOutline>
              </w:rPr>
              <w:t>The</w:t>
            </w:r>
            <w:r w:rsidR="00555EA8">
              <w:rPr>
                <w:color w:val="000000" w:themeColor="text1"/>
                <w:sz w:val="18"/>
                <w:szCs w:val="18"/>
                <w14:textOutline w14:w="0" w14:cap="flat" w14:cmpd="sng" w14:algn="ctr">
                  <w14:noFill/>
                  <w14:prstDash w14:val="solid"/>
                  <w14:round/>
                </w14:textOutline>
              </w:rPr>
              <w:t xml:space="preserve"> North</w:t>
            </w:r>
            <w:r w:rsidR="00125E5D">
              <w:rPr>
                <w:color w:val="000000" w:themeColor="text1"/>
                <w:sz w:val="18"/>
                <w:szCs w:val="18"/>
                <w14:textOutline w14:w="0" w14:cap="flat" w14:cmpd="sng" w14:algn="ctr">
                  <w14:noFill/>
                  <w14:prstDash w14:val="solid"/>
                  <w14:round/>
                </w14:textOutline>
              </w:rPr>
              <w:t xml:space="preserve"> issued</w:t>
            </w:r>
            <w:r w:rsidRPr="00D94703">
              <w:rPr>
                <w:color w:val="000000" w:themeColor="text1"/>
                <w:sz w:val="18"/>
                <w:szCs w:val="18"/>
                <w14:textOutline w14:w="0" w14:cap="flat" w14:cmpd="sng" w14:algn="ctr">
                  <w14:noFill/>
                  <w14:prstDash w14:val="solid"/>
                  <w14:round/>
                </w14:textOutline>
              </w:rPr>
              <w:t xml:space="preserve"> </w:t>
            </w:r>
            <w:r w:rsidR="00644460">
              <w:rPr>
                <w:color w:val="000000" w:themeColor="text1"/>
                <w:sz w:val="18"/>
                <w:szCs w:val="18"/>
                <w14:textOutline w14:w="0" w14:cap="flat" w14:cmpd="sng" w14:algn="ctr">
                  <w14:noFill/>
                  <w14:prstDash w14:val="solid"/>
                  <w14:round/>
                </w14:textOutline>
              </w:rPr>
              <w:t xml:space="preserve">a surge in patrols </w:t>
            </w:r>
            <w:r w:rsidR="006934CB">
              <w:rPr>
                <w:color w:val="000000" w:themeColor="text1"/>
                <w:sz w:val="18"/>
                <w:szCs w:val="18"/>
                <w14:textOutline w14:w="0" w14:cap="flat" w14:cmpd="sng" w14:algn="ctr">
                  <w14:noFill/>
                  <w14:prstDash w14:val="solid"/>
                  <w14:round/>
                </w14:textOutline>
              </w:rPr>
              <w:t>and 9 operations</w:t>
            </w:r>
            <w:r w:rsidR="00555EA8">
              <w:rPr>
                <w:color w:val="000000" w:themeColor="text1"/>
                <w:sz w:val="18"/>
                <w:szCs w:val="18"/>
                <w14:textOutline w14:w="0" w14:cap="flat" w14:cmpd="sng" w14:algn="ctr">
                  <w14:noFill/>
                  <w14:prstDash w14:val="solid"/>
                  <w14:round/>
                </w14:textOutline>
              </w:rPr>
              <w:t xml:space="preserve">. </w:t>
            </w:r>
            <w:r w:rsidR="008D039F">
              <w:rPr>
                <w:color w:val="000000" w:themeColor="text1"/>
                <w:sz w:val="18"/>
                <w:szCs w:val="18"/>
                <w14:textOutline w14:w="0" w14:cap="flat" w14:cmpd="sng" w14:algn="ctr">
                  <w14:noFill/>
                  <w14:prstDash w14:val="solid"/>
                  <w14:round/>
                </w14:textOutline>
              </w:rPr>
              <w:t xml:space="preserve">In the West, 10 </w:t>
            </w:r>
            <w:r w:rsidR="00555EA8">
              <w:rPr>
                <w:color w:val="000000" w:themeColor="text1"/>
                <w:sz w:val="18"/>
                <w:szCs w:val="18"/>
                <w14:textOutline w14:w="0" w14:cap="flat" w14:cmpd="sng" w14:algn="ctr">
                  <w14:noFill/>
                  <w14:prstDash w14:val="solid"/>
                  <w14:round/>
                </w14:textOutline>
              </w:rPr>
              <w:t>o</w:t>
            </w:r>
            <w:r w:rsidR="008D039F">
              <w:rPr>
                <w:color w:val="000000" w:themeColor="text1"/>
                <w:sz w:val="18"/>
                <w:szCs w:val="18"/>
                <w14:textOutline w14:w="0" w14:cap="flat" w14:cmpd="sng" w14:algn="ctr">
                  <w14:noFill/>
                  <w14:prstDash w14:val="solid"/>
                  <w14:round/>
                </w14:textOutline>
              </w:rPr>
              <w:t xml:space="preserve">perations </w:t>
            </w:r>
            <w:r w:rsidR="00555EA8">
              <w:rPr>
                <w:color w:val="000000" w:themeColor="text1"/>
                <w:sz w:val="18"/>
                <w:szCs w:val="18"/>
                <w14:textOutline w14:w="0" w14:cap="flat" w14:cmpd="sng" w14:algn="ctr">
                  <w14:noFill/>
                  <w14:prstDash w14:val="solid"/>
                  <w14:round/>
                </w14:textOutline>
              </w:rPr>
              <w:t>were</w:t>
            </w:r>
            <w:r w:rsidR="00E268BF">
              <w:rPr>
                <w:color w:val="000000" w:themeColor="text1"/>
                <w:sz w:val="18"/>
                <w:szCs w:val="18"/>
                <w14:textOutline w14:w="0" w14:cap="flat" w14:cmpd="sng" w14:algn="ctr">
                  <w14:noFill/>
                  <w14:prstDash w14:val="solid"/>
                  <w14:round/>
                </w14:textOutline>
              </w:rPr>
              <w:t xml:space="preserve"> </w:t>
            </w:r>
            <w:r w:rsidR="00555EA8">
              <w:rPr>
                <w:color w:val="000000" w:themeColor="text1"/>
                <w:sz w:val="18"/>
                <w:szCs w:val="18"/>
                <w14:textOutline w14:w="0" w14:cap="flat" w14:cmpd="sng" w14:algn="ctr">
                  <w14:noFill/>
                  <w14:prstDash w14:val="solid"/>
                  <w14:round/>
                </w14:textOutline>
              </w:rPr>
              <w:t xml:space="preserve">commissioned </w:t>
            </w:r>
            <w:r w:rsidR="006934CB">
              <w:rPr>
                <w:color w:val="000000" w:themeColor="text1"/>
                <w:sz w:val="18"/>
                <w:szCs w:val="18"/>
                <w14:textOutline w14:w="0" w14:cap="flat" w14:cmpd="sng" w14:algn="ctr">
                  <w14:noFill/>
                  <w14:prstDash w14:val="solid"/>
                  <w14:round/>
                </w14:textOutline>
              </w:rPr>
              <w:t>for</w:t>
            </w:r>
            <w:r w:rsidR="008D039F">
              <w:rPr>
                <w:color w:val="000000" w:themeColor="text1"/>
                <w:sz w:val="18"/>
                <w:szCs w:val="18"/>
                <w14:textOutline w14:w="0" w14:cap="flat" w14:cmpd="sng" w14:algn="ctr">
                  <w14:noFill/>
                  <w14:prstDash w14:val="solid"/>
                  <w14:round/>
                </w14:textOutline>
              </w:rPr>
              <w:t xml:space="preserve"> face mask and essential travel </w:t>
            </w:r>
            <w:r w:rsidR="00E268BF">
              <w:rPr>
                <w:color w:val="000000" w:themeColor="text1"/>
                <w:sz w:val="18"/>
                <w:szCs w:val="18"/>
                <w14:textOutline w14:w="0" w14:cap="flat" w14:cmpd="sng" w14:algn="ctr">
                  <w14:noFill/>
                  <w14:prstDash w14:val="solid"/>
                  <w14:round/>
                </w14:textOutline>
              </w:rPr>
              <w:t>compliance</w:t>
            </w:r>
            <w:r w:rsidR="00125E5D">
              <w:rPr>
                <w:color w:val="000000" w:themeColor="text1"/>
                <w:sz w:val="18"/>
                <w:szCs w:val="18"/>
                <w14:textOutline w14:w="0" w14:cap="flat" w14:cmpd="sng" w14:algn="ctr">
                  <w14:noFill/>
                  <w14:prstDash w14:val="solid"/>
                  <w14:round/>
                </w14:textOutline>
              </w:rPr>
              <w:t xml:space="preserve"> and i</w:t>
            </w:r>
            <w:r w:rsidR="00125E5D" w:rsidRPr="00125E5D">
              <w:rPr>
                <w:color w:val="000000" w:themeColor="text1"/>
                <w:sz w:val="18"/>
                <w:szCs w:val="18"/>
                <w14:textOutline w14:w="0" w14:cap="flat" w14:cmpd="sng" w14:algn="ctr">
                  <w14:noFill/>
                  <w14:prstDash w14:val="solid"/>
                  <w14:round/>
                </w14:textOutline>
              </w:rPr>
              <w:t>n December alone</w:t>
            </w:r>
            <w:r w:rsidR="00125E5D">
              <w:rPr>
                <w:color w:val="000000" w:themeColor="text1"/>
                <w:sz w:val="18"/>
                <w:szCs w:val="18"/>
                <w14:textOutline w14:w="0" w14:cap="flat" w14:cmpd="sng" w14:algn="ctr">
                  <w14:noFill/>
                  <w14:prstDash w14:val="solid"/>
                  <w14:round/>
                </w14:textOutline>
              </w:rPr>
              <w:t xml:space="preserve">, </w:t>
            </w:r>
            <w:r w:rsidR="00125E5D" w:rsidRPr="00125E5D">
              <w:rPr>
                <w:color w:val="000000" w:themeColor="text1"/>
                <w:sz w:val="18"/>
                <w:szCs w:val="18"/>
                <w14:textOutline w14:w="0" w14:cap="flat" w14:cmpd="sng" w14:algn="ctr">
                  <w14:noFill/>
                  <w14:prstDash w14:val="solid"/>
                  <w14:round/>
                </w14:textOutline>
              </w:rPr>
              <w:t>30 additional initiatives</w:t>
            </w:r>
            <w:r w:rsidR="00125E5D">
              <w:rPr>
                <w:color w:val="000000" w:themeColor="text1"/>
                <w:sz w:val="18"/>
                <w:szCs w:val="18"/>
                <w14:textOutline w14:w="0" w14:cap="flat" w14:cmpd="sng" w14:algn="ctr">
                  <w14:noFill/>
                  <w14:prstDash w14:val="solid"/>
                  <w14:round/>
                </w14:textOutline>
              </w:rPr>
              <w:t xml:space="preserve"> </w:t>
            </w:r>
            <w:r w:rsidR="00D87CFB">
              <w:rPr>
                <w:color w:val="000000" w:themeColor="text1"/>
                <w:sz w:val="18"/>
                <w:szCs w:val="18"/>
                <w14:textOutline w14:w="0" w14:cap="flat" w14:cmpd="sng" w14:algn="ctr">
                  <w14:noFill/>
                  <w14:prstDash w14:val="solid"/>
                  <w14:round/>
                </w14:textOutline>
              </w:rPr>
              <w:t xml:space="preserve">were carried out </w:t>
            </w:r>
            <w:r w:rsidR="00125E5D">
              <w:rPr>
                <w:color w:val="000000" w:themeColor="text1"/>
                <w:sz w:val="18"/>
                <w:szCs w:val="18"/>
                <w14:textOutline w14:w="0" w14:cap="flat" w14:cmpd="sng" w14:algn="ctr">
                  <w14:noFill/>
                  <w14:prstDash w14:val="solid"/>
                  <w14:round/>
                </w14:textOutline>
              </w:rPr>
              <w:t>for ASB</w:t>
            </w:r>
            <w:r w:rsidR="00D30DDE">
              <w:rPr>
                <w:color w:val="000000" w:themeColor="text1"/>
                <w:sz w:val="18"/>
                <w:szCs w:val="18"/>
                <w14:textOutline w14:w="0" w14:cap="flat" w14:cmpd="sng" w14:algn="ctr">
                  <w14:noFill/>
                  <w14:prstDash w14:val="solid"/>
                  <w14:round/>
                </w14:textOutline>
              </w:rPr>
              <w:t xml:space="preserve"> on division</w:t>
            </w:r>
            <w:r w:rsidR="00125E5D">
              <w:rPr>
                <w:color w:val="000000" w:themeColor="text1"/>
                <w:sz w:val="18"/>
                <w:szCs w:val="18"/>
                <w14:textOutline w14:w="0" w14:cap="flat" w14:cmpd="sng" w14:algn="ctr">
                  <w14:noFill/>
                  <w14:prstDash w14:val="solid"/>
                  <w14:round/>
                </w14:textOutline>
              </w:rPr>
              <w:t xml:space="preserve">. </w:t>
            </w:r>
            <w:r w:rsidR="003F676C">
              <w:rPr>
                <w:color w:val="000000" w:themeColor="text1"/>
                <w:sz w:val="18"/>
                <w:szCs w:val="18"/>
                <w14:textOutline w14:w="0" w14:cap="flat" w14:cmpd="sng" w14:algn="ctr">
                  <w14:noFill/>
                  <w14:prstDash w14:val="solid"/>
                  <w14:round/>
                </w14:textOutline>
              </w:rPr>
              <w:t>R</w:t>
            </w:r>
            <w:r w:rsidR="001864BF" w:rsidRPr="001864BF">
              <w:rPr>
                <w:color w:val="000000" w:themeColor="text1"/>
                <w:sz w:val="18"/>
                <w:szCs w:val="18"/>
                <w14:textOutline w14:w="0" w14:cap="flat" w14:cmpd="sng" w14:algn="ctr">
                  <w14:noFill/>
                  <w14:prstDash w14:val="solid"/>
                  <w14:round/>
                </w14:textOutline>
              </w:rPr>
              <w:t xml:space="preserve">esources continue to be directed to </w:t>
            </w:r>
            <w:r w:rsidR="00E45E5F">
              <w:rPr>
                <w:color w:val="000000" w:themeColor="text1"/>
                <w:sz w:val="18"/>
                <w:szCs w:val="18"/>
                <w14:textOutline w14:w="0" w14:cap="flat" w14:cmpd="sng" w14:algn="ctr">
                  <w14:noFill/>
                  <w14:prstDash w14:val="solid"/>
                  <w14:round/>
                </w14:textOutline>
              </w:rPr>
              <w:t>hot</w:t>
            </w:r>
            <w:r w:rsidR="001864BF" w:rsidRPr="001864BF">
              <w:rPr>
                <w:color w:val="000000" w:themeColor="text1"/>
                <w:sz w:val="18"/>
                <w:szCs w:val="18"/>
                <w14:textOutline w14:w="0" w14:cap="flat" w14:cmpd="sng" w14:algn="ctr">
                  <w14:noFill/>
                  <w14:prstDash w14:val="solid"/>
                  <w14:round/>
                </w14:textOutline>
              </w:rPr>
              <w:t>spots</w:t>
            </w:r>
            <w:r w:rsidR="00E45E5F">
              <w:rPr>
                <w:color w:val="000000" w:themeColor="text1"/>
                <w:sz w:val="18"/>
                <w:szCs w:val="18"/>
                <w14:textOutline w14:w="0" w14:cap="flat" w14:cmpd="sng" w14:algn="ctr">
                  <w14:noFill/>
                  <w14:prstDash w14:val="solid"/>
                  <w14:round/>
                </w14:textOutline>
              </w:rPr>
              <w:t xml:space="preserve"> in each policing post. </w:t>
            </w:r>
            <w:r w:rsidR="006934CB">
              <w:rPr>
                <w:color w:val="000000" w:themeColor="text1"/>
                <w:sz w:val="18"/>
                <w:szCs w:val="18"/>
                <w14:textOutline w14:w="0" w14:cap="flat" w14:cmpd="sng" w14:algn="ctr">
                  <w14:noFill/>
                  <w14:prstDash w14:val="solid"/>
                  <w14:round/>
                </w14:textOutline>
              </w:rPr>
              <w:t>Liaison with</w:t>
            </w:r>
            <w:r w:rsidRPr="00D94703">
              <w:rPr>
                <w:color w:val="000000" w:themeColor="text1"/>
                <w:sz w:val="18"/>
                <w:szCs w:val="18"/>
                <w14:textOutline w14:w="0" w14:cap="flat" w14:cmpd="sng" w14:algn="ctr">
                  <w14:noFill/>
                  <w14:prstDash w14:val="solid"/>
                  <w14:round/>
                </w14:textOutline>
              </w:rPr>
              <w:t xml:space="preserve"> school</w:t>
            </w:r>
            <w:r w:rsidR="006934CB">
              <w:rPr>
                <w:color w:val="000000" w:themeColor="text1"/>
                <w:sz w:val="18"/>
                <w:szCs w:val="18"/>
                <w14:textOutline w14:w="0" w14:cap="flat" w14:cmpd="sng" w14:algn="ctr">
                  <w14:noFill/>
                  <w14:prstDash w14:val="solid"/>
                  <w14:round/>
                </w14:textOutline>
              </w:rPr>
              <w:t xml:space="preserve">s </w:t>
            </w:r>
            <w:r w:rsidRPr="00D94703">
              <w:rPr>
                <w:color w:val="000000" w:themeColor="text1"/>
                <w:sz w:val="18"/>
                <w:szCs w:val="18"/>
                <w14:textOutline w14:w="0" w14:cap="flat" w14:cmpd="sng" w14:algn="ctr">
                  <w14:noFill/>
                  <w14:prstDash w14:val="solid"/>
                  <w14:round/>
                </w14:textOutline>
              </w:rPr>
              <w:t>has</w:t>
            </w:r>
            <w:r w:rsidR="00327FEE">
              <w:rPr>
                <w:color w:val="000000" w:themeColor="text1"/>
                <w:sz w:val="18"/>
                <w:szCs w:val="18"/>
                <w14:textOutline w14:w="0" w14:cap="flat" w14:cmpd="sng" w14:algn="ctr">
                  <w14:noFill/>
                  <w14:prstDash w14:val="solid"/>
                  <w14:round/>
                </w14:textOutline>
              </w:rPr>
              <w:t xml:space="preserve"> also</w:t>
            </w:r>
            <w:r w:rsidRPr="00D94703">
              <w:rPr>
                <w:color w:val="000000" w:themeColor="text1"/>
                <w:sz w:val="18"/>
                <w:szCs w:val="18"/>
                <w14:textOutline w14:w="0" w14:cap="flat" w14:cmpd="sng" w14:algn="ctr">
                  <w14:noFill/>
                  <w14:prstDash w14:val="solid"/>
                  <w14:round/>
                </w14:textOutline>
              </w:rPr>
              <w:t xml:space="preserve"> taken place</w:t>
            </w:r>
            <w:r w:rsidR="006934CB">
              <w:rPr>
                <w:color w:val="000000" w:themeColor="text1"/>
                <w:sz w:val="18"/>
                <w:szCs w:val="18"/>
                <w14:textOutline w14:w="0" w14:cap="flat" w14:cmpd="sng" w14:algn="ctr">
                  <w14:noFill/>
                  <w14:prstDash w14:val="solid"/>
                  <w14:round/>
                </w14:textOutline>
              </w:rPr>
              <w:t>.</w:t>
            </w:r>
          </w:p>
        </w:tc>
      </w:tr>
      <w:tr w:rsidR="00DB28FF" w:rsidRPr="008A2364" w:rsidTr="00DB28FF">
        <w:trPr>
          <w:trHeight w:val="958"/>
        </w:trPr>
        <w:tc>
          <w:tcPr>
            <w:tcW w:w="9090" w:type="dxa"/>
            <w:tcBorders>
              <w:top w:val="single" w:sz="8" w:space="0" w:color="7F7F7F"/>
              <w:left w:val="single" w:sz="8" w:space="0" w:color="000000"/>
              <w:bottom w:val="single" w:sz="8" w:space="0" w:color="7F7F7F"/>
              <w:right w:val="single" w:sz="8" w:space="0" w:color="000000"/>
            </w:tcBorders>
            <w:shd w:val="clear" w:color="auto" w:fill="auto"/>
            <w:tcMar>
              <w:top w:w="15" w:type="dxa"/>
              <w:left w:w="108" w:type="dxa"/>
              <w:bottom w:w="0" w:type="dxa"/>
              <w:right w:w="108" w:type="dxa"/>
            </w:tcMar>
          </w:tcPr>
          <w:p w:rsidR="00E268BF" w:rsidRPr="00D94703" w:rsidRDefault="00DB28FF" w:rsidP="00E268BF">
            <w:pPr>
              <w:jc w:val="both"/>
              <w:rPr>
                <w:color w:val="000000" w:themeColor="text1"/>
                <w:sz w:val="18"/>
                <w:szCs w:val="18"/>
                <w14:textOutline w14:w="0" w14:cap="flat" w14:cmpd="sng" w14:algn="ctr">
                  <w14:noFill/>
                  <w14:prstDash w14:val="solid"/>
                  <w14:round/>
                </w14:textOutline>
              </w:rPr>
            </w:pPr>
            <w:bookmarkStart w:id="2" w:name="_Hlk62031119"/>
            <w:r w:rsidRPr="00D94703">
              <w:rPr>
                <w:b/>
                <w:color w:val="000000" w:themeColor="text1"/>
                <w:sz w:val="18"/>
                <w:szCs w:val="18"/>
                <w14:textOutline w14:w="0" w14:cap="flat" w14:cmpd="sng" w14:algn="ctr">
                  <w14:noFill/>
                  <w14:prstDash w14:val="solid"/>
                  <w14:round/>
                </w14:textOutline>
              </w:rPr>
              <w:t xml:space="preserve">Resourcing has been strained by COVID-related absence </w:t>
            </w:r>
            <w:bookmarkEnd w:id="2"/>
            <w:r w:rsidRPr="00D94703">
              <w:rPr>
                <w:b/>
                <w:color w:val="000000" w:themeColor="text1"/>
                <w:sz w:val="18"/>
                <w:szCs w:val="18"/>
                <w14:textOutline w14:w="0" w14:cap="flat" w14:cmpd="sng" w14:algn="ctr">
                  <w14:noFill/>
                  <w14:prstDash w14:val="solid"/>
                  <w14:round/>
                </w14:textOutline>
              </w:rPr>
              <w:t>(mainly in form of self-isolation)</w:t>
            </w:r>
            <w:r w:rsidR="0045770A" w:rsidRPr="00D94703">
              <w:rPr>
                <w:b/>
                <w:color w:val="000000" w:themeColor="text1"/>
                <w:sz w:val="18"/>
                <w:szCs w:val="18"/>
                <w14:textOutline w14:w="0" w14:cap="flat" w14:cmpd="sng" w14:algn="ctr">
                  <w14:noFill/>
                  <w14:prstDash w14:val="solid"/>
                  <w14:round/>
                </w14:textOutline>
              </w:rPr>
              <w:t xml:space="preserve">. </w:t>
            </w:r>
            <w:r w:rsidR="0045770A" w:rsidRPr="00D94703">
              <w:rPr>
                <w:color w:val="000000" w:themeColor="text1"/>
                <w:sz w:val="18"/>
                <w:szCs w:val="18"/>
                <w14:textOutline w14:w="0" w14:cap="flat" w14:cmpd="sng" w14:algn="ctr">
                  <w14:noFill/>
                  <w14:prstDash w14:val="solid"/>
                  <w14:round/>
                </w14:textOutline>
              </w:rPr>
              <w:t>H</w:t>
            </w:r>
            <w:r w:rsidRPr="00D94703">
              <w:rPr>
                <w:color w:val="000000" w:themeColor="text1"/>
                <w:sz w:val="18"/>
                <w:szCs w:val="18"/>
                <w14:textOutline w14:w="0" w14:cap="flat" w14:cmpd="sng" w14:algn="ctr">
                  <w14:noFill/>
                  <w14:prstDash w14:val="solid"/>
                  <w14:round/>
                </w14:textOutline>
              </w:rPr>
              <w:t>owever, staff levels have been maintained and this has enabled BTP to continue to deliver a quality service. During this period, an exceptional level of support has been provided by the Special Constabulary which has helped with daily activity, deployments and operations.</w:t>
            </w:r>
            <w:r w:rsidR="00E268BF">
              <w:rPr>
                <w:color w:val="000000" w:themeColor="text1"/>
                <w:sz w:val="18"/>
                <w:szCs w:val="18"/>
                <w14:textOutline w14:w="0" w14:cap="flat" w14:cmpd="sng" w14:algn="ctr">
                  <w14:noFill/>
                  <w14:prstDash w14:val="solid"/>
                  <w14:round/>
                </w14:textOutline>
              </w:rPr>
              <w:t xml:space="preserve"> At the beginning of February, the </w:t>
            </w:r>
            <w:r w:rsidR="00500BB6">
              <w:rPr>
                <w:color w:val="000000" w:themeColor="text1"/>
                <w:sz w:val="18"/>
                <w:szCs w:val="18"/>
                <w14:textOutline w14:w="0" w14:cap="flat" w14:cmpd="sng" w14:algn="ctr">
                  <w14:noFill/>
                  <w14:prstDash w14:val="solid"/>
                  <w14:round/>
                </w14:textOutline>
              </w:rPr>
              <w:t xml:space="preserve">COVID </w:t>
            </w:r>
            <w:r w:rsidR="00E268BF">
              <w:rPr>
                <w:color w:val="000000" w:themeColor="text1"/>
                <w:sz w:val="18"/>
                <w:szCs w:val="18"/>
                <w14:textOutline w14:w="0" w14:cap="flat" w14:cmpd="sng" w14:algn="ctr">
                  <w14:noFill/>
                  <w14:prstDash w14:val="solid"/>
                  <w14:round/>
                </w14:textOutline>
              </w:rPr>
              <w:t xml:space="preserve">abstraction ratio </w:t>
            </w:r>
            <w:r w:rsidR="002E5B88">
              <w:rPr>
                <w:color w:val="000000" w:themeColor="text1"/>
                <w:sz w:val="18"/>
                <w:szCs w:val="18"/>
                <w14:textOutline w14:w="0" w14:cap="flat" w14:cmpd="sng" w14:algn="ctr">
                  <w14:noFill/>
                  <w14:prstDash w14:val="solid"/>
                  <w14:round/>
                </w14:textOutline>
              </w:rPr>
              <w:t xml:space="preserve">for D Division </w:t>
            </w:r>
            <w:r w:rsidR="00E268BF">
              <w:rPr>
                <w:color w:val="000000" w:themeColor="text1"/>
                <w:sz w:val="18"/>
                <w:szCs w:val="18"/>
                <w14:textOutline w14:w="0" w14:cap="flat" w14:cmpd="sng" w14:algn="ctr">
                  <w14:noFill/>
                  <w14:prstDash w14:val="solid"/>
                  <w14:round/>
                </w14:textOutline>
              </w:rPr>
              <w:t xml:space="preserve">is </w:t>
            </w:r>
            <w:r w:rsidR="00500BB6">
              <w:rPr>
                <w:color w:val="000000" w:themeColor="text1"/>
                <w:sz w:val="18"/>
                <w:szCs w:val="18"/>
                <w14:textOutline w14:w="0" w14:cap="flat" w14:cmpd="sng" w14:algn="ctr">
                  <w14:noFill/>
                  <w14:prstDash w14:val="solid"/>
                  <w14:round/>
                </w14:textOutline>
              </w:rPr>
              <w:t>0.3</w:t>
            </w:r>
            <w:r w:rsidR="00E268BF">
              <w:rPr>
                <w:color w:val="000000" w:themeColor="text1"/>
                <w:sz w:val="18"/>
                <w:szCs w:val="18"/>
                <w14:textOutline w14:w="0" w14:cap="flat" w14:cmpd="sng" w14:algn="ctr">
                  <w14:noFill/>
                  <w14:prstDash w14:val="solid"/>
                  <w14:round/>
                </w14:textOutline>
              </w:rPr>
              <w:t>%</w:t>
            </w:r>
            <w:r w:rsidR="003F676C">
              <w:rPr>
                <w:color w:val="000000" w:themeColor="text1"/>
                <w:sz w:val="18"/>
                <w:szCs w:val="18"/>
                <w14:textOutline w14:w="0" w14:cap="flat" w14:cmpd="sng" w14:algn="ctr">
                  <w14:noFill/>
                  <w14:prstDash w14:val="solid"/>
                  <w14:round/>
                </w14:textOutline>
              </w:rPr>
              <w:t xml:space="preserve"> (1)</w:t>
            </w:r>
            <w:r w:rsidR="00E268BF">
              <w:rPr>
                <w:color w:val="000000" w:themeColor="text1"/>
                <w:sz w:val="18"/>
                <w:szCs w:val="18"/>
                <w14:textOutline w14:w="0" w14:cap="flat" w14:cmpd="sng" w14:algn="ctr">
                  <w14:noFill/>
                  <w14:prstDash w14:val="solid"/>
                  <w14:round/>
                </w14:textOutline>
              </w:rPr>
              <w:t>.</w:t>
            </w:r>
          </w:p>
        </w:tc>
      </w:tr>
      <w:tr w:rsidR="00DB28FF" w:rsidRPr="008A2364" w:rsidTr="00DB28FF">
        <w:trPr>
          <w:trHeight w:val="958"/>
        </w:trPr>
        <w:tc>
          <w:tcPr>
            <w:tcW w:w="9090" w:type="dxa"/>
            <w:tcBorders>
              <w:top w:val="single" w:sz="8" w:space="0" w:color="7F7F7F"/>
              <w:left w:val="single" w:sz="8" w:space="0" w:color="000000"/>
              <w:bottom w:val="single" w:sz="8" w:space="0" w:color="7F7F7F"/>
              <w:right w:val="single" w:sz="8" w:space="0" w:color="000000"/>
            </w:tcBorders>
            <w:shd w:val="clear" w:color="auto" w:fill="auto"/>
            <w:tcMar>
              <w:top w:w="15" w:type="dxa"/>
              <w:left w:w="108" w:type="dxa"/>
              <w:bottom w:w="0" w:type="dxa"/>
              <w:right w:w="108" w:type="dxa"/>
            </w:tcMar>
          </w:tcPr>
          <w:p w:rsidR="00DB28FF" w:rsidRPr="00D94703" w:rsidRDefault="00DB28FF" w:rsidP="00DB28FF">
            <w:pPr>
              <w:jc w:val="both"/>
              <w:rPr>
                <w:color w:val="000000" w:themeColor="text1"/>
                <w:sz w:val="18"/>
                <w:szCs w:val="18"/>
                <w14:textOutline w14:w="0" w14:cap="flat" w14:cmpd="sng" w14:algn="ctr">
                  <w14:noFill/>
                  <w14:prstDash w14:val="solid"/>
                  <w14:round/>
                </w14:textOutline>
              </w:rPr>
            </w:pPr>
            <w:r w:rsidRPr="00D94703">
              <w:rPr>
                <w:b/>
                <w:color w:val="000000" w:themeColor="text1"/>
                <w:sz w:val="18"/>
                <w:szCs w:val="18"/>
                <w14:textOutline w14:w="0" w14:cap="flat" w14:cmpd="sng" w14:algn="ctr">
                  <w14:noFill/>
                  <w14:prstDash w14:val="solid"/>
                  <w14:round/>
                </w14:textOutline>
              </w:rPr>
              <w:t>The Divisional festive plan ran during December with no reduction in resources.</w:t>
            </w:r>
            <w:r w:rsidRPr="00D94703">
              <w:rPr>
                <w:color w:val="000000" w:themeColor="text1"/>
                <w:sz w:val="18"/>
                <w:szCs w:val="18"/>
                <w14:textOutline w14:w="0" w14:cap="flat" w14:cmpd="sng" w14:algn="ctr">
                  <w14:noFill/>
                  <w14:prstDash w14:val="solid"/>
                  <w14:round/>
                </w14:textOutline>
              </w:rPr>
              <w:t xml:space="preserve"> Deployments were made every weekend under </w:t>
            </w:r>
            <w:r w:rsidRPr="00D94703">
              <w:rPr>
                <w:i/>
                <w:color w:val="000000" w:themeColor="text1"/>
                <w:sz w:val="18"/>
                <w:szCs w:val="18"/>
                <w14:textOutline w14:w="0" w14:cap="flat" w14:cmpd="sng" w14:algn="ctr">
                  <w14:noFill/>
                  <w14:prstDash w14:val="solid"/>
                  <w14:round/>
                </w14:textOutline>
              </w:rPr>
              <w:t>Operation Redcedar</w:t>
            </w:r>
            <w:r w:rsidRPr="00D94703">
              <w:rPr>
                <w:color w:val="000000" w:themeColor="text1"/>
                <w:sz w:val="18"/>
                <w:szCs w:val="18"/>
                <w14:textOutline w14:w="0" w14:cap="flat" w14:cmpd="sng" w14:algn="ctr">
                  <w14:noFill/>
                  <w14:prstDash w14:val="solid"/>
                  <w14:round/>
                </w14:textOutline>
              </w:rPr>
              <w:t xml:space="preserve"> to address specific areas of non-compliance and this ensured support and reassurance to the network during what was a unique festive season.</w:t>
            </w:r>
          </w:p>
        </w:tc>
      </w:tr>
      <w:tr w:rsidR="00DB28FF" w:rsidRPr="008A2364" w:rsidTr="00DB28FF">
        <w:trPr>
          <w:trHeight w:val="958"/>
        </w:trPr>
        <w:tc>
          <w:tcPr>
            <w:tcW w:w="9090" w:type="dxa"/>
            <w:tcBorders>
              <w:top w:val="single" w:sz="8" w:space="0" w:color="7F7F7F"/>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B28FF" w:rsidRPr="00D94703" w:rsidRDefault="00DB28FF" w:rsidP="00DB28FF">
            <w:pPr>
              <w:jc w:val="both"/>
              <w:rPr>
                <w:color w:val="000000" w:themeColor="text1"/>
                <w:sz w:val="18"/>
                <w:szCs w:val="18"/>
                <w14:textOutline w14:w="0" w14:cap="flat" w14:cmpd="sng" w14:algn="ctr">
                  <w14:noFill/>
                  <w14:prstDash w14:val="solid"/>
                  <w14:round/>
                </w14:textOutline>
              </w:rPr>
            </w:pPr>
            <w:r w:rsidRPr="00D94703">
              <w:rPr>
                <w:b/>
                <w:color w:val="000000" w:themeColor="text1"/>
                <w:sz w:val="18"/>
                <w:szCs w:val="18"/>
                <w14:textOutline w14:w="0" w14:cap="flat" w14:cmpd="sng" w14:algn="ctr">
                  <w14:noFill/>
                  <w14:prstDash w14:val="solid"/>
                  <w14:round/>
                </w14:textOutline>
              </w:rPr>
              <w:t>A variety of proactive operations</w:t>
            </w:r>
            <w:r w:rsidR="00D614B3" w:rsidRPr="00D94703">
              <w:rPr>
                <w:b/>
                <w:color w:val="000000" w:themeColor="text1"/>
                <w:sz w:val="18"/>
                <w:szCs w:val="18"/>
                <w14:textOutline w14:w="0" w14:cap="flat" w14:cmpd="sng" w14:algn="ctr">
                  <w14:noFill/>
                  <w14:prstDash w14:val="solid"/>
                  <w14:round/>
                </w14:textOutline>
              </w:rPr>
              <w:t xml:space="preserve"> are taking place in line with Force enhanced posture.</w:t>
            </w:r>
            <w:r w:rsidR="00D614B3" w:rsidRPr="00D94703">
              <w:rPr>
                <w:color w:val="000000" w:themeColor="text1"/>
                <w:sz w:val="18"/>
                <w:szCs w:val="18"/>
                <w14:textOutline w14:w="0" w14:cap="flat" w14:cmpd="sng" w14:algn="ctr">
                  <w14:noFill/>
                  <w14:prstDash w14:val="solid"/>
                  <w14:round/>
                </w14:textOutline>
              </w:rPr>
              <w:t xml:space="preserve"> </w:t>
            </w:r>
            <w:r w:rsidRPr="00D94703">
              <w:rPr>
                <w:color w:val="000000" w:themeColor="text1"/>
                <w:sz w:val="18"/>
                <w:szCs w:val="18"/>
                <w14:textOutline w14:w="0" w14:cap="flat" w14:cmpd="sng" w14:algn="ctr">
                  <w14:noFill/>
                  <w14:prstDash w14:val="solid"/>
                  <w14:round/>
                </w14:textOutline>
              </w:rPr>
              <w:t xml:space="preserve"> Officers </w:t>
            </w:r>
            <w:r w:rsidR="00D63A86">
              <w:rPr>
                <w:color w:val="000000" w:themeColor="text1"/>
                <w:sz w:val="18"/>
                <w:szCs w:val="18"/>
                <w14:textOutline w14:w="0" w14:cap="flat" w14:cmpd="sng" w14:algn="ctr">
                  <w14:noFill/>
                  <w14:prstDash w14:val="solid"/>
                  <w14:round/>
                </w14:textOutline>
              </w:rPr>
              <w:t>continue to carry</w:t>
            </w:r>
            <w:r w:rsidRPr="00D94703">
              <w:rPr>
                <w:color w:val="000000" w:themeColor="text1"/>
                <w:sz w:val="18"/>
                <w:szCs w:val="18"/>
                <w14:textOutline w14:w="0" w14:cap="flat" w14:cmpd="sng" w14:algn="ctr">
                  <w14:noFill/>
                  <w14:prstDash w14:val="solid"/>
                  <w14:round/>
                </w14:textOutline>
              </w:rPr>
              <w:t xml:space="preserve"> out on</w:t>
            </w:r>
            <w:r w:rsidR="00D614B3" w:rsidRPr="00D94703">
              <w:rPr>
                <w:color w:val="000000" w:themeColor="text1"/>
                <w:sz w:val="18"/>
                <w:szCs w:val="18"/>
                <w14:textOutline w14:w="0" w14:cap="flat" w14:cmpd="sng" w14:algn="ctr">
                  <w14:noFill/>
                  <w14:prstDash w14:val="solid"/>
                  <w14:round/>
                </w14:textOutline>
              </w:rPr>
              <w:t>-</w:t>
            </w:r>
            <w:r w:rsidRPr="00D94703">
              <w:rPr>
                <w:color w:val="000000" w:themeColor="text1"/>
                <w:sz w:val="18"/>
                <w:szCs w:val="18"/>
                <w14:textOutline w14:w="0" w14:cap="flat" w14:cmpd="sng" w14:algn="ctr">
                  <w14:noFill/>
                  <w14:prstDash w14:val="solid"/>
                  <w14:round/>
                </w14:textOutline>
              </w:rPr>
              <w:t>train patrols</w:t>
            </w:r>
            <w:r w:rsidR="00D614B3" w:rsidRPr="00D94703">
              <w:rPr>
                <w:color w:val="000000" w:themeColor="text1"/>
                <w:sz w:val="18"/>
                <w:szCs w:val="18"/>
                <w14:textOutline w14:w="0" w14:cap="flat" w14:cmpd="sng" w14:algn="ctr">
                  <w14:noFill/>
                  <w14:prstDash w14:val="solid"/>
                  <w14:round/>
                </w14:textOutline>
              </w:rPr>
              <w:t xml:space="preserve">, </w:t>
            </w:r>
            <w:r w:rsidRPr="00D94703">
              <w:rPr>
                <w:color w:val="000000" w:themeColor="text1"/>
                <w:sz w:val="18"/>
                <w:szCs w:val="18"/>
                <w14:textOutline w14:w="0" w14:cap="flat" w14:cmpd="sng" w14:algn="ctr">
                  <w14:noFill/>
                  <w14:prstDash w14:val="solid"/>
                  <w14:round/>
                </w14:textOutline>
              </w:rPr>
              <w:t>actively engaging with members of the</w:t>
            </w:r>
            <w:r w:rsidR="00D614B3" w:rsidRPr="00D94703">
              <w:rPr>
                <w:color w:val="000000" w:themeColor="text1"/>
                <w:sz w:val="18"/>
                <w:szCs w:val="18"/>
                <w14:textOutline w14:w="0" w14:cap="flat" w14:cmpd="sng" w14:algn="ctr">
                  <w14:noFill/>
                  <w14:prstDash w14:val="solid"/>
                  <w14:round/>
                </w14:textOutline>
              </w:rPr>
              <w:t xml:space="preserve"> travelling</w:t>
            </w:r>
            <w:r w:rsidRPr="00D94703">
              <w:rPr>
                <w:color w:val="000000" w:themeColor="text1"/>
                <w:sz w:val="18"/>
                <w:szCs w:val="18"/>
                <w14:textOutline w14:w="0" w14:cap="flat" w14:cmpd="sng" w14:algn="ctr">
                  <w14:noFill/>
                  <w14:prstDash w14:val="solid"/>
                  <w14:round/>
                </w14:textOutline>
              </w:rPr>
              <w:t xml:space="preserve"> public and ensur</w:t>
            </w:r>
            <w:r w:rsidR="00D614B3" w:rsidRPr="00D94703">
              <w:rPr>
                <w:color w:val="000000" w:themeColor="text1"/>
                <w:sz w:val="18"/>
                <w:szCs w:val="18"/>
                <w14:textOutline w14:w="0" w14:cap="flat" w14:cmpd="sng" w14:algn="ctr">
                  <w14:noFill/>
                  <w14:prstDash w14:val="solid"/>
                  <w14:round/>
                </w14:textOutline>
              </w:rPr>
              <w:t>ing</w:t>
            </w:r>
            <w:r w:rsidRPr="00D94703">
              <w:rPr>
                <w:color w:val="000000" w:themeColor="text1"/>
                <w:sz w:val="18"/>
                <w:szCs w:val="18"/>
                <w14:textOutline w14:w="0" w14:cap="flat" w14:cmpd="sng" w14:algn="ctr">
                  <w14:noFill/>
                  <w14:prstDash w14:val="solid"/>
                  <w14:round/>
                </w14:textOutline>
              </w:rPr>
              <w:t xml:space="preserve"> compliance with COVID regulations</w:t>
            </w:r>
            <w:r w:rsidR="00D63A86">
              <w:rPr>
                <w:color w:val="000000" w:themeColor="text1"/>
                <w:sz w:val="18"/>
                <w:szCs w:val="18"/>
                <w14:textOutline w14:w="0" w14:cap="flat" w14:cmpd="sng" w14:algn="ctr">
                  <w14:noFill/>
                  <w14:prstDash w14:val="solid"/>
                  <w14:round/>
                </w14:textOutline>
              </w:rPr>
              <w:t xml:space="preserve"> (Op</w:t>
            </w:r>
            <w:r w:rsidR="00644460">
              <w:rPr>
                <w:color w:val="000000" w:themeColor="text1"/>
                <w:sz w:val="18"/>
                <w:szCs w:val="18"/>
                <w14:textOutline w14:w="0" w14:cap="flat" w14:cmpd="sng" w14:algn="ctr">
                  <w14:noFill/>
                  <w14:prstDash w14:val="solid"/>
                  <w14:round/>
                </w14:textOutline>
              </w:rPr>
              <w:t xml:space="preserve"> </w:t>
            </w:r>
            <w:r w:rsidR="00D63A86">
              <w:rPr>
                <w:color w:val="000000" w:themeColor="text1"/>
                <w:sz w:val="18"/>
                <w:szCs w:val="18"/>
                <w14:textOutline w14:w="0" w14:cap="flat" w14:cmpd="sng" w14:algn="ctr">
                  <w14:noFill/>
                  <w14:prstDash w14:val="solid"/>
                  <w14:round/>
                </w14:textOutline>
              </w:rPr>
              <w:t>Red Cedar)</w:t>
            </w:r>
            <w:r w:rsidR="00D614B3" w:rsidRPr="00D94703">
              <w:rPr>
                <w:color w:val="000000" w:themeColor="text1"/>
                <w:sz w:val="18"/>
                <w:szCs w:val="18"/>
                <w14:textOutline w14:w="0" w14:cap="flat" w14:cmpd="sng" w14:algn="ctr">
                  <w14:noFill/>
                  <w14:prstDash w14:val="solid"/>
                  <w14:round/>
                </w14:textOutline>
              </w:rPr>
              <w:t xml:space="preserve">. These </w:t>
            </w:r>
            <w:r w:rsidRPr="00D94703">
              <w:rPr>
                <w:color w:val="000000" w:themeColor="text1"/>
                <w:sz w:val="18"/>
                <w:szCs w:val="18"/>
                <w14:textOutline w14:w="0" w14:cap="flat" w14:cmpd="sng" w14:algn="ctr">
                  <w14:noFill/>
                  <w14:prstDash w14:val="solid"/>
                  <w14:round/>
                </w14:textOutline>
              </w:rPr>
              <w:t xml:space="preserve">took place </w:t>
            </w:r>
            <w:r w:rsidRPr="00644460">
              <w:rPr>
                <w:color w:val="000000" w:themeColor="text1"/>
                <w:sz w:val="18"/>
                <w:szCs w:val="18"/>
                <w14:textOutline w14:w="0" w14:cap="flat" w14:cmpd="sng" w14:algn="ctr">
                  <w14:noFill/>
                  <w14:prstDash w14:val="solid"/>
                  <w14:round/>
                </w14:textOutline>
              </w:rPr>
              <w:t>throughout</w:t>
            </w:r>
            <w:r w:rsidRPr="00D94703">
              <w:rPr>
                <w:color w:val="000000" w:themeColor="text1"/>
                <w:sz w:val="18"/>
                <w:szCs w:val="18"/>
                <w14:textOutline w14:w="0" w14:cap="flat" w14:cmpd="sng" w14:algn="ctr">
                  <w14:noFill/>
                  <w14:prstDash w14:val="solid"/>
                  <w14:round/>
                </w14:textOutline>
              </w:rPr>
              <w:t xml:space="preserve"> December </w:t>
            </w:r>
            <w:r w:rsidR="00D63A86" w:rsidRPr="00D94703">
              <w:rPr>
                <w:color w:val="000000" w:themeColor="text1"/>
                <w:sz w:val="18"/>
                <w:szCs w:val="18"/>
                <w14:textOutline w14:w="0" w14:cap="flat" w14:cmpd="sng" w14:algn="ctr">
                  <w14:noFill/>
                  <w14:prstDash w14:val="solid"/>
                  <w14:round/>
                </w14:textOutline>
              </w:rPr>
              <w:t>and January</w:t>
            </w:r>
            <w:r w:rsidRPr="00D94703">
              <w:rPr>
                <w:color w:val="000000" w:themeColor="text1"/>
                <w:sz w:val="18"/>
                <w:szCs w:val="18"/>
                <w14:textOutline w14:w="0" w14:cap="flat" w14:cmpd="sng" w14:algn="ctr">
                  <w14:noFill/>
                  <w14:prstDash w14:val="solid"/>
                  <w14:round/>
                </w14:textOutline>
              </w:rPr>
              <w:t>.</w:t>
            </w:r>
            <w:r w:rsidR="00D63A86">
              <w:rPr>
                <w:color w:val="000000" w:themeColor="text1"/>
                <w:sz w:val="18"/>
                <w:szCs w:val="18"/>
                <w14:textOutline w14:w="0" w14:cap="flat" w14:cmpd="sng" w14:algn="ctr">
                  <w14:noFill/>
                  <w14:prstDash w14:val="solid"/>
                  <w14:round/>
                </w14:textOutline>
              </w:rPr>
              <w:t xml:space="preserve"> </w:t>
            </w:r>
            <w:r w:rsidR="00644460">
              <w:rPr>
                <w:color w:val="000000" w:themeColor="text1"/>
                <w:sz w:val="18"/>
                <w:szCs w:val="18"/>
                <w14:textOutline w14:w="0" w14:cap="flat" w14:cmpd="sng" w14:algn="ctr">
                  <w14:noFill/>
                  <w14:prstDash w14:val="solid"/>
                  <w14:round/>
                </w14:textOutline>
              </w:rPr>
              <w:t xml:space="preserve">In the North, </w:t>
            </w:r>
            <w:r w:rsidR="00644460" w:rsidRPr="00644460">
              <w:rPr>
                <w:color w:val="000000" w:themeColor="text1"/>
                <w:sz w:val="18"/>
                <w:szCs w:val="18"/>
                <w14:textOutline w14:w="0" w14:cap="flat" w14:cmpd="sng" w14:algn="ctr">
                  <w14:noFill/>
                  <w14:prstDash w14:val="solid"/>
                  <w14:round/>
                </w14:textOutline>
              </w:rPr>
              <w:t>extra officers have conducted patrols every Friday, Saturday and Sunday Nov 13</w:t>
            </w:r>
            <w:r w:rsidR="00644460" w:rsidRPr="00644460">
              <w:rPr>
                <w:color w:val="000000" w:themeColor="text1"/>
                <w:sz w:val="18"/>
                <w:szCs w:val="18"/>
                <w:vertAlign w:val="superscript"/>
                <w14:textOutline w14:w="0" w14:cap="flat" w14:cmpd="sng" w14:algn="ctr">
                  <w14:noFill/>
                  <w14:prstDash w14:val="solid"/>
                  <w14:round/>
                </w14:textOutline>
              </w:rPr>
              <w:t>th</w:t>
            </w:r>
            <w:r w:rsidR="00644460">
              <w:rPr>
                <w:color w:val="000000" w:themeColor="text1"/>
                <w:sz w:val="18"/>
                <w:szCs w:val="18"/>
                <w14:textOutline w14:w="0" w14:cap="flat" w14:cmpd="sng" w14:algn="ctr">
                  <w14:noFill/>
                  <w14:prstDash w14:val="solid"/>
                  <w14:round/>
                </w14:textOutline>
              </w:rPr>
              <w:t xml:space="preserve"> – present. In the East</w:t>
            </w:r>
            <w:r w:rsidR="00644460">
              <w:rPr>
                <w:color w:val="000000"/>
              </w:rPr>
              <w:t xml:space="preserve"> </w:t>
            </w:r>
            <w:r w:rsidR="002E0D84">
              <w:rPr>
                <w:color w:val="000000" w:themeColor="text1"/>
                <w:sz w:val="18"/>
                <w:szCs w:val="18"/>
                <w14:textOutline w14:w="0" w14:cap="flat" w14:cmpd="sng" w14:algn="ctr">
                  <w14:noFill/>
                  <w14:prstDash w14:val="solid"/>
                  <w14:round/>
                </w14:textOutline>
              </w:rPr>
              <w:t>29 operations have been directed.</w:t>
            </w:r>
            <w:r w:rsidR="00644460">
              <w:rPr>
                <w:color w:val="000000"/>
              </w:rPr>
              <w:t xml:space="preserve"> </w:t>
            </w:r>
            <w:r w:rsidR="002E0D84">
              <w:rPr>
                <w:color w:val="000000" w:themeColor="text1"/>
                <w:sz w:val="18"/>
                <w:szCs w:val="18"/>
                <w14:textOutline w14:w="0" w14:cap="flat" w14:cmpd="sng" w14:algn="ctr">
                  <w14:noFill/>
                  <w14:prstDash w14:val="solid"/>
                  <w14:round/>
                </w14:textOutline>
              </w:rPr>
              <w:t>A</w:t>
            </w:r>
            <w:r w:rsidR="00D63A86">
              <w:rPr>
                <w:color w:val="000000" w:themeColor="text1"/>
                <w:sz w:val="18"/>
                <w:szCs w:val="18"/>
                <w14:textOutline w14:w="0" w14:cap="flat" w14:cmpd="sng" w14:algn="ctr">
                  <w14:noFill/>
                  <w14:prstDash w14:val="solid"/>
                  <w14:round/>
                </w14:textOutline>
              </w:rPr>
              <w:t xml:space="preserve"> </w:t>
            </w:r>
            <w:r w:rsidR="00D63A86" w:rsidRPr="00D63A86">
              <w:rPr>
                <w:color w:val="000000" w:themeColor="text1"/>
                <w:sz w:val="18"/>
                <w:szCs w:val="18"/>
                <w14:textOutline w14:w="0" w14:cap="flat" w14:cmpd="sng" w14:algn="ctr">
                  <w14:noFill/>
                  <w14:prstDash w14:val="solid"/>
                  <w14:round/>
                </w14:textOutline>
              </w:rPr>
              <w:t xml:space="preserve">typical Red Cedar shift will involve policing </w:t>
            </w:r>
            <w:r w:rsidR="002E0D84">
              <w:rPr>
                <w:color w:val="000000" w:themeColor="text1"/>
                <w:sz w:val="18"/>
                <w:szCs w:val="18"/>
                <w14:textOutline w14:w="0" w14:cap="flat" w14:cmpd="sng" w14:algn="ctr">
                  <w14:noFill/>
                  <w14:prstDash w14:val="solid"/>
                  <w14:round/>
                </w14:textOutline>
              </w:rPr>
              <w:t xml:space="preserve">between </w:t>
            </w:r>
            <w:r w:rsidR="00D63A86" w:rsidRPr="00D63A86">
              <w:rPr>
                <w:color w:val="000000" w:themeColor="text1"/>
                <w:sz w:val="18"/>
                <w:szCs w:val="18"/>
                <w14:textOutline w14:w="0" w14:cap="flat" w14:cmpd="sng" w14:algn="ctr">
                  <w14:noFill/>
                  <w14:prstDash w14:val="solid"/>
                  <w14:round/>
                </w14:textOutline>
              </w:rPr>
              <w:t>6 – 10 trains.</w:t>
            </w:r>
          </w:p>
        </w:tc>
      </w:tr>
    </w:tbl>
    <w:bookmarkEnd w:id="0"/>
    <w:bookmarkEnd w:id="1"/>
    <w:p w:rsidR="00F56685" w:rsidRDefault="006F28D6" w:rsidP="00BD035E">
      <w:pPr>
        <w:jc w:val="both"/>
        <w:rPr>
          <w:rFonts w:cstheme="minorHAnsi"/>
          <w:b/>
          <w:color w:val="000000"/>
          <w:sz w:val="21"/>
          <w:szCs w:val="21"/>
          <w:u w:val="single"/>
        </w:rPr>
      </w:pPr>
      <w:r>
        <w:rPr>
          <w:rFonts w:cstheme="minorHAnsi"/>
          <w:b/>
          <w:color w:val="000000"/>
          <w:sz w:val="21"/>
          <w:szCs w:val="21"/>
          <w:u w:val="single"/>
        </w:rPr>
        <w:lastRenderedPageBreak/>
        <w:t>C</w:t>
      </w:r>
      <w:r w:rsidR="00495D76" w:rsidRPr="00422E25">
        <w:rPr>
          <w:rFonts w:cstheme="minorHAnsi"/>
          <w:b/>
          <w:color w:val="000000"/>
          <w:sz w:val="21"/>
          <w:szCs w:val="21"/>
          <w:u w:val="single"/>
        </w:rPr>
        <w:t xml:space="preserve">rime </w:t>
      </w:r>
      <w:r w:rsidR="00495D76">
        <w:rPr>
          <w:rFonts w:cstheme="minorHAnsi"/>
          <w:b/>
          <w:color w:val="000000"/>
          <w:sz w:val="21"/>
          <w:szCs w:val="21"/>
          <w:u w:val="single"/>
        </w:rPr>
        <w:t>O</w:t>
      </w:r>
      <w:r w:rsidR="00495D76" w:rsidRPr="00422E25">
        <w:rPr>
          <w:rFonts w:cstheme="minorHAnsi"/>
          <w:b/>
          <w:color w:val="000000"/>
          <w:sz w:val="21"/>
          <w:szCs w:val="21"/>
          <w:u w:val="single"/>
        </w:rPr>
        <w:t>vervie</w:t>
      </w:r>
      <w:r w:rsidR="00F56685">
        <w:rPr>
          <w:rFonts w:cstheme="minorHAnsi"/>
          <w:b/>
          <w:color w:val="000000"/>
          <w:sz w:val="21"/>
          <w:szCs w:val="21"/>
          <w:u w:val="single"/>
        </w:rPr>
        <w:t>w</w:t>
      </w:r>
    </w:p>
    <w:p w:rsidR="00AF410C" w:rsidRPr="000A4B16" w:rsidRDefault="00E25096" w:rsidP="00BD035E">
      <w:pPr>
        <w:jc w:val="both"/>
        <w:rPr>
          <w:rFonts w:cstheme="minorHAnsi"/>
          <w:sz w:val="20"/>
          <w:szCs w:val="21"/>
        </w:rPr>
      </w:pPr>
      <w:r w:rsidRPr="000A4B16">
        <w:rPr>
          <w:rFonts w:cstheme="minorHAnsi"/>
          <w:b/>
          <w:sz w:val="20"/>
          <w:szCs w:val="21"/>
        </w:rPr>
        <w:t>There have been</w:t>
      </w:r>
      <w:r w:rsidR="00495D76" w:rsidRPr="000A4B16">
        <w:rPr>
          <w:rFonts w:cstheme="minorHAnsi"/>
          <w:b/>
          <w:sz w:val="20"/>
          <w:szCs w:val="21"/>
        </w:rPr>
        <w:t xml:space="preserve"> 961 notifiable crimes </w:t>
      </w:r>
      <w:r w:rsidRPr="000A4B16">
        <w:rPr>
          <w:rFonts w:cstheme="minorHAnsi"/>
          <w:b/>
          <w:sz w:val="20"/>
          <w:szCs w:val="21"/>
        </w:rPr>
        <w:t>recorded for Scotland</w:t>
      </w:r>
      <w:r w:rsidR="00320F78" w:rsidRPr="000A4B16">
        <w:rPr>
          <w:rFonts w:cstheme="minorHAnsi"/>
          <w:b/>
          <w:sz w:val="20"/>
          <w:szCs w:val="21"/>
        </w:rPr>
        <w:t xml:space="preserve"> YTD</w:t>
      </w:r>
      <w:r w:rsidR="00495D76" w:rsidRPr="000A4B16">
        <w:rPr>
          <w:rFonts w:cstheme="minorHAnsi"/>
          <w:b/>
          <w:sz w:val="20"/>
          <w:szCs w:val="21"/>
        </w:rPr>
        <w:t>.</w:t>
      </w:r>
      <w:r w:rsidR="003A3F7B" w:rsidRPr="000A4B16">
        <w:rPr>
          <w:rFonts w:cstheme="minorHAnsi"/>
          <w:sz w:val="20"/>
          <w:szCs w:val="21"/>
        </w:rPr>
        <w:t xml:space="preserve"> </w:t>
      </w:r>
      <w:r w:rsidR="00AA2DF0" w:rsidRPr="000A4B16">
        <w:rPr>
          <w:rFonts w:cstheme="minorHAnsi"/>
          <w:sz w:val="20"/>
          <w:szCs w:val="21"/>
        </w:rPr>
        <w:t xml:space="preserve">Overall, notifiable crime is down by </w:t>
      </w:r>
      <w:r w:rsidR="00A44197" w:rsidRPr="000A4B16">
        <w:rPr>
          <w:rFonts w:cstheme="minorHAnsi"/>
          <w:sz w:val="20"/>
          <w:szCs w:val="21"/>
        </w:rPr>
        <w:t>30</w:t>
      </w:r>
      <w:r w:rsidR="00AA2DF0" w:rsidRPr="000A4B16">
        <w:rPr>
          <w:rFonts w:cstheme="minorHAnsi"/>
          <w:sz w:val="20"/>
          <w:szCs w:val="21"/>
        </w:rPr>
        <w:t xml:space="preserve">% </w:t>
      </w:r>
      <w:r w:rsidR="00721B87" w:rsidRPr="000A4B16">
        <w:rPr>
          <w:rFonts w:cstheme="minorHAnsi"/>
          <w:sz w:val="20"/>
          <w:szCs w:val="21"/>
        </w:rPr>
        <w:t xml:space="preserve">(-412) </w:t>
      </w:r>
      <w:r w:rsidR="00AA2DF0" w:rsidRPr="000A4B16">
        <w:rPr>
          <w:rFonts w:cstheme="minorHAnsi"/>
          <w:sz w:val="20"/>
          <w:szCs w:val="21"/>
        </w:rPr>
        <w:t>on last year</w:t>
      </w:r>
      <w:r w:rsidR="00F56685" w:rsidRPr="000A4B16">
        <w:rPr>
          <w:rFonts w:cstheme="minorHAnsi"/>
          <w:sz w:val="20"/>
          <w:szCs w:val="21"/>
        </w:rPr>
        <w:t xml:space="preserve">. </w:t>
      </w:r>
      <w:r w:rsidR="0045770A" w:rsidRPr="000A4B16">
        <w:rPr>
          <w:rFonts w:cstheme="minorHAnsi"/>
          <w:sz w:val="20"/>
          <w:szCs w:val="21"/>
        </w:rPr>
        <w:t>In Q3, th</w:t>
      </w:r>
      <w:r w:rsidR="00F56685" w:rsidRPr="000A4B16">
        <w:rPr>
          <w:rFonts w:cstheme="minorHAnsi"/>
          <w:sz w:val="20"/>
          <w:szCs w:val="21"/>
        </w:rPr>
        <w:t xml:space="preserve">ere were 414 crimes recorded </w:t>
      </w:r>
      <w:r w:rsidR="00C9011A" w:rsidRPr="000A4B16">
        <w:rPr>
          <w:rFonts w:cstheme="minorHAnsi"/>
          <w:sz w:val="20"/>
          <w:szCs w:val="21"/>
        </w:rPr>
        <w:t xml:space="preserve">and </w:t>
      </w:r>
      <w:r w:rsidR="009C4AF1" w:rsidRPr="000A4B16">
        <w:rPr>
          <w:rFonts w:cstheme="minorHAnsi"/>
          <w:sz w:val="20"/>
          <w:szCs w:val="21"/>
        </w:rPr>
        <w:t>is</w:t>
      </w:r>
      <w:r w:rsidR="00991936" w:rsidRPr="000A4B16">
        <w:rPr>
          <w:rFonts w:cstheme="minorHAnsi"/>
          <w:sz w:val="20"/>
          <w:szCs w:val="21"/>
        </w:rPr>
        <w:t xml:space="preserve"> a</w:t>
      </w:r>
      <w:r w:rsidR="00C9011A" w:rsidRPr="000A4B16">
        <w:rPr>
          <w:rFonts w:cstheme="minorHAnsi"/>
          <w:sz w:val="20"/>
          <w:szCs w:val="21"/>
        </w:rPr>
        <w:t xml:space="preserve"> </w:t>
      </w:r>
      <w:r w:rsidRPr="000A4B16">
        <w:rPr>
          <w:rFonts w:cstheme="minorHAnsi"/>
          <w:sz w:val="20"/>
          <w:szCs w:val="21"/>
        </w:rPr>
        <w:t>14%</w:t>
      </w:r>
      <w:r w:rsidR="00036953" w:rsidRPr="000A4B16">
        <w:rPr>
          <w:rFonts w:cstheme="minorHAnsi"/>
          <w:sz w:val="20"/>
          <w:szCs w:val="21"/>
        </w:rPr>
        <w:t xml:space="preserve"> </w:t>
      </w:r>
      <w:r w:rsidR="00C9011A" w:rsidRPr="000A4B16">
        <w:rPr>
          <w:rFonts w:cstheme="minorHAnsi"/>
          <w:sz w:val="20"/>
          <w:szCs w:val="21"/>
        </w:rPr>
        <w:t xml:space="preserve">reduction on </w:t>
      </w:r>
      <w:r w:rsidR="00F56685" w:rsidRPr="000A4B16">
        <w:rPr>
          <w:rFonts w:cstheme="minorHAnsi"/>
          <w:sz w:val="20"/>
          <w:szCs w:val="21"/>
        </w:rPr>
        <w:t>Q3</w:t>
      </w:r>
      <w:r w:rsidR="00C9011A" w:rsidRPr="000A4B16">
        <w:rPr>
          <w:rFonts w:cstheme="minorHAnsi"/>
          <w:sz w:val="20"/>
          <w:szCs w:val="21"/>
        </w:rPr>
        <w:t xml:space="preserve"> 2019</w:t>
      </w:r>
      <w:r w:rsidR="000C21CE" w:rsidRPr="000A4B16">
        <w:rPr>
          <w:rFonts w:cstheme="minorHAnsi"/>
          <w:sz w:val="20"/>
          <w:szCs w:val="21"/>
        </w:rPr>
        <w:t xml:space="preserve"> (481).</w:t>
      </w:r>
      <w:r w:rsidR="00AF410C" w:rsidRPr="000A4B16">
        <w:rPr>
          <w:rFonts w:cstheme="minorHAnsi"/>
          <w:sz w:val="20"/>
          <w:szCs w:val="21"/>
        </w:rPr>
        <w:t xml:space="preserve"> </w:t>
      </w:r>
      <w:r w:rsidR="00D94703" w:rsidRPr="000A4B16">
        <w:rPr>
          <w:rFonts w:cstheme="minorHAnsi"/>
          <w:sz w:val="20"/>
          <w:szCs w:val="21"/>
        </w:rPr>
        <w:t xml:space="preserve">Detection rate for crime in Scotland is </w:t>
      </w:r>
      <w:r w:rsidR="00065C10" w:rsidRPr="000A4B16">
        <w:rPr>
          <w:rFonts w:cstheme="minorHAnsi"/>
          <w:sz w:val="20"/>
          <w:szCs w:val="21"/>
        </w:rPr>
        <w:t>49% (+7% on PY).</w:t>
      </w:r>
    </w:p>
    <w:p w:rsidR="008F48F4" w:rsidRPr="000A4B16" w:rsidRDefault="00F56685" w:rsidP="00BD035E">
      <w:pPr>
        <w:jc w:val="both"/>
        <w:rPr>
          <w:rFonts w:cstheme="minorHAnsi"/>
          <w:sz w:val="20"/>
          <w:szCs w:val="21"/>
        </w:rPr>
      </w:pPr>
      <w:r w:rsidRPr="000A4B16">
        <w:rPr>
          <w:sz w:val="20"/>
          <w:szCs w:val="21"/>
        </w:rPr>
        <w:t xml:space="preserve">Estimates published by the Department for Transport indicate that rail usage increased </w:t>
      </w:r>
      <w:r w:rsidR="00D614B3" w:rsidRPr="000A4B16">
        <w:rPr>
          <w:sz w:val="20"/>
          <w:szCs w:val="21"/>
        </w:rPr>
        <w:t xml:space="preserve">UK wide </w:t>
      </w:r>
      <w:r w:rsidRPr="000A4B16">
        <w:rPr>
          <w:sz w:val="20"/>
          <w:szCs w:val="21"/>
        </w:rPr>
        <w:t>throughout the summer</w:t>
      </w:r>
      <w:r w:rsidR="00FE4C95" w:rsidRPr="000A4B16">
        <w:rPr>
          <w:sz w:val="20"/>
          <w:szCs w:val="21"/>
        </w:rPr>
        <w:t xml:space="preserve">. This </w:t>
      </w:r>
      <w:r w:rsidRPr="000A4B16">
        <w:rPr>
          <w:sz w:val="20"/>
          <w:szCs w:val="21"/>
        </w:rPr>
        <w:t xml:space="preserve">was reflected in </w:t>
      </w:r>
      <w:r w:rsidR="00D614B3" w:rsidRPr="000A4B16">
        <w:rPr>
          <w:sz w:val="20"/>
          <w:szCs w:val="21"/>
        </w:rPr>
        <w:t>the s</w:t>
      </w:r>
      <w:r w:rsidR="0052356B" w:rsidRPr="000A4B16">
        <w:rPr>
          <w:sz w:val="20"/>
          <w:szCs w:val="21"/>
        </w:rPr>
        <w:t xml:space="preserve">ummer </w:t>
      </w:r>
      <w:r w:rsidRPr="000A4B16">
        <w:rPr>
          <w:sz w:val="20"/>
          <w:szCs w:val="21"/>
        </w:rPr>
        <w:t>crime trends</w:t>
      </w:r>
      <w:r w:rsidR="0045770A" w:rsidRPr="000A4B16">
        <w:rPr>
          <w:sz w:val="20"/>
          <w:szCs w:val="21"/>
        </w:rPr>
        <w:t>,</w:t>
      </w:r>
      <w:r w:rsidR="00FE4C95" w:rsidRPr="000A4B16">
        <w:rPr>
          <w:sz w:val="20"/>
          <w:szCs w:val="21"/>
        </w:rPr>
        <w:t xml:space="preserve"> </w:t>
      </w:r>
      <w:r w:rsidR="009C4AF1" w:rsidRPr="000A4B16">
        <w:rPr>
          <w:sz w:val="20"/>
          <w:szCs w:val="21"/>
        </w:rPr>
        <w:t>with</w:t>
      </w:r>
      <w:r w:rsidR="00FE4C95" w:rsidRPr="000A4B16">
        <w:rPr>
          <w:sz w:val="20"/>
          <w:szCs w:val="21"/>
        </w:rPr>
        <w:t xml:space="preserve"> </w:t>
      </w:r>
      <w:r w:rsidR="00D614B3" w:rsidRPr="000A4B16">
        <w:rPr>
          <w:sz w:val="20"/>
          <w:szCs w:val="21"/>
        </w:rPr>
        <w:t>Scotland experienc</w:t>
      </w:r>
      <w:r w:rsidR="009C4AF1" w:rsidRPr="000A4B16">
        <w:rPr>
          <w:sz w:val="20"/>
          <w:szCs w:val="21"/>
        </w:rPr>
        <w:t>ing</w:t>
      </w:r>
      <w:r w:rsidRPr="000A4B16">
        <w:rPr>
          <w:sz w:val="20"/>
          <w:szCs w:val="21"/>
        </w:rPr>
        <w:t xml:space="preserve"> an increase</w:t>
      </w:r>
      <w:r w:rsidRPr="000A4B16">
        <w:rPr>
          <w:rFonts w:cstheme="minorHAnsi"/>
          <w:sz w:val="20"/>
          <w:szCs w:val="21"/>
        </w:rPr>
        <w:t xml:space="preserve"> month o</w:t>
      </w:r>
      <w:r w:rsidR="00991936" w:rsidRPr="000A4B16">
        <w:rPr>
          <w:rFonts w:cstheme="minorHAnsi"/>
          <w:sz w:val="20"/>
          <w:szCs w:val="21"/>
        </w:rPr>
        <w:t xml:space="preserve">n </w:t>
      </w:r>
      <w:r w:rsidRPr="000A4B16">
        <w:rPr>
          <w:rFonts w:cstheme="minorHAnsi"/>
          <w:sz w:val="20"/>
          <w:szCs w:val="21"/>
        </w:rPr>
        <w:t>month</w:t>
      </w:r>
      <w:r w:rsidR="0045770A" w:rsidRPr="000A4B16">
        <w:rPr>
          <w:rFonts w:cstheme="minorHAnsi"/>
          <w:sz w:val="20"/>
          <w:szCs w:val="21"/>
        </w:rPr>
        <w:t xml:space="preserve"> and by</w:t>
      </w:r>
      <w:r w:rsidRPr="000A4B16">
        <w:rPr>
          <w:sz w:val="20"/>
          <w:szCs w:val="21"/>
        </w:rPr>
        <w:t xml:space="preserve"> September </w:t>
      </w:r>
      <w:r w:rsidR="00FE4C95" w:rsidRPr="000A4B16">
        <w:rPr>
          <w:sz w:val="20"/>
          <w:szCs w:val="21"/>
        </w:rPr>
        <w:t>and</w:t>
      </w:r>
      <w:r w:rsidRPr="000A4B16">
        <w:rPr>
          <w:sz w:val="20"/>
          <w:szCs w:val="21"/>
        </w:rPr>
        <w:t xml:space="preserve"> </w:t>
      </w:r>
      <w:r w:rsidR="000D3829" w:rsidRPr="000A4B16">
        <w:rPr>
          <w:sz w:val="20"/>
          <w:szCs w:val="21"/>
        </w:rPr>
        <w:t>October</w:t>
      </w:r>
      <w:r w:rsidRPr="000A4B16">
        <w:rPr>
          <w:sz w:val="20"/>
          <w:szCs w:val="21"/>
        </w:rPr>
        <w:t>, crime was</w:t>
      </w:r>
      <w:r w:rsidR="0052356B" w:rsidRPr="000A4B16">
        <w:rPr>
          <w:sz w:val="20"/>
          <w:szCs w:val="21"/>
        </w:rPr>
        <w:t xml:space="preserve"> </w:t>
      </w:r>
      <w:r w:rsidR="000D3829" w:rsidRPr="000A4B16">
        <w:rPr>
          <w:sz w:val="20"/>
          <w:szCs w:val="21"/>
        </w:rPr>
        <w:t xml:space="preserve">almost </w:t>
      </w:r>
      <w:r w:rsidR="0052356B" w:rsidRPr="000A4B16">
        <w:rPr>
          <w:sz w:val="20"/>
          <w:szCs w:val="21"/>
        </w:rPr>
        <w:t>at</w:t>
      </w:r>
      <w:r w:rsidR="000D3829" w:rsidRPr="000A4B16">
        <w:rPr>
          <w:sz w:val="20"/>
          <w:szCs w:val="21"/>
        </w:rPr>
        <w:t xml:space="preserve"> the</w:t>
      </w:r>
      <w:r w:rsidR="0052356B" w:rsidRPr="000A4B16">
        <w:rPr>
          <w:sz w:val="20"/>
          <w:szCs w:val="21"/>
        </w:rPr>
        <w:t xml:space="preserve"> same level as last year</w:t>
      </w:r>
      <w:r w:rsidR="000D3829" w:rsidRPr="000A4B16">
        <w:rPr>
          <w:sz w:val="20"/>
          <w:szCs w:val="21"/>
        </w:rPr>
        <w:t xml:space="preserve">. </w:t>
      </w:r>
      <w:r w:rsidR="0060467F" w:rsidRPr="000A4B16">
        <w:rPr>
          <w:b/>
          <w:sz w:val="20"/>
          <w:szCs w:val="21"/>
        </w:rPr>
        <w:t xml:space="preserve">Despite </w:t>
      </w:r>
      <w:r w:rsidR="0060467F" w:rsidRPr="000A4B16">
        <w:rPr>
          <w:rFonts w:cstheme="minorHAnsi"/>
          <w:b/>
          <w:sz w:val="20"/>
          <w:szCs w:val="21"/>
        </w:rPr>
        <w:t xml:space="preserve">rail usage still being considerably lower than it was before the pandemic, </w:t>
      </w:r>
      <w:r w:rsidR="000D3829" w:rsidRPr="000A4B16">
        <w:rPr>
          <w:b/>
          <w:sz w:val="20"/>
          <w:szCs w:val="21"/>
        </w:rPr>
        <w:t>N</w:t>
      </w:r>
      <w:r w:rsidR="00AA2DF0" w:rsidRPr="000A4B16">
        <w:rPr>
          <w:rFonts w:cstheme="minorHAnsi"/>
          <w:b/>
          <w:sz w:val="20"/>
          <w:szCs w:val="21"/>
        </w:rPr>
        <w:t xml:space="preserve">ovember </w:t>
      </w:r>
      <w:r w:rsidR="000D3829" w:rsidRPr="000A4B16">
        <w:rPr>
          <w:rFonts w:cstheme="minorHAnsi"/>
          <w:b/>
          <w:sz w:val="20"/>
          <w:szCs w:val="21"/>
        </w:rPr>
        <w:t>crime was</w:t>
      </w:r>
      <w:r w:rsidR="00FE4C95" w:rsidRPr="000A4B16">
        <w:rPr>
          <w:rFonts w:cstheme="minorHAnsi"/>
          <w:b/>
          <w:sz w:val="20"/>
          <w:szCs w:val="21"/>
        </w:rPr>
        <w:t xml:space="preserve"> up</w:t>
      </w:r>
      <w:r w:rsidR="00395BFD" w:rsidRPr="000A4B16">
        <w:rPr>
          <w:rFonts w:cstheme="minorHAnsi"/>
          <w:b/>
          <w:sz w:val="20"/>
          <w:szCs w:val="21"/>
        </w:rPr>
        <w:t xml:space="preserve"> 5%</w:t>
      </w:r>
      <w:r w:rsidR="00FE4C95" w:rsidRPr="000A4B16">
        <w:rPr>
          <w:rFonts w:cstheme="minorHAnsi"/>
          <w:b/>
          <w:sz w:val="20"/>
          <w:szCs w:val="21"/>
        </w:rPr>
        <w:t xml:space="preserve"> on </w:t>
      </w:r>
      <w:r w:rsidR="00395BFD" w:rsidRPr="000A4B16">
        <w:rPr>
          <w:rFonts w:cstheme="minorHAnsi"/>
          <w:b/>
          <w:sz w:val="20"/>
          <w:szCs w:val="21"/>
        </w:rPr>
        <w:t xml:space="preserve">the </w:t>
      </w:r>
      <w:r w:rsidR="00FE4C95" w:rsidRPr="000A4B16">
        <w:rPr>
          <w:rFonts w:cstheme="minorHAnsi"/>
          <w:b/>
          <w:sz w:val="20"/>
          <w:szCs w:val="21"/>
        </w:rPr>
        <w:t xml:space="preserve">PY and </w:t>
      </w:r>
      <w:r w:rsidR="0045770A" w:rsidRPr="000A4B16">
        <w:rPr>
          <w:rFonts w:cstheme="minorHAnsi"/>
          <w:b/>
          <w:sz w:val="20"/>
          <w:szCs w:val="21"/>
        </w:rPr>
        <w:t xml:space="preserve">was </w:t>
      </w:r>
      <w:r w:rsidR="00FE4C95" w:rsidRPr="000A4B16">
        <w:rPr>
          <w:rFonts w:cstheme="minorHAnsi"/>
          <w:b/>
          <w:sz w:val="20"/>
          <w:szCs w:val="21"/>
        </w:rPr>
        <w:t xml:space="preserve">the </w:t>
      </w:r>
      <w:r w:rsidR="00844A06" w:rsidRPr="000A4B16">
        <w:rPr>
          <w:rFonts w:cstheme="minorHAnsi"/>
          <w:b/>
          <w:sz w:val="20"/>
          <w:szCs w:val="21"/>
        </w:rPr>
        <w:t xml:space="preserve">highest recording month </w:t>
      </w:r>
      <w:r w:rsidR="00D614B3" w:rsidRPr="000A4B16">
        <w:rPr>
          <w:rFonts w:cstheme="minorHAnsi"/>
          <w:b/>
          <w:sz w:val="20"/>
          <w:szCs w:val="21"/>
        </w:rPr>
        <w:t xml:space="preserve">YTD </w:t>
      </w:r>
      <w:r w:rsidR="00844A06" w:rsidRPr="000A4B16">
        <w:rPr>
          <w:rFonts w:cstheme="minorHAnsi"/>
          <w:b/>
          <w:sz w:val="20"/>
          <w:szCs w:val="21"/>
        </w:rPr>
        <w:t>with 150 crimes</w:t>
      </w:r>
      <w:r w:rsidR="00395BFD" w:rsidRPr="000A4B16">
        <w:rPr>
          <w:rFonts w:cstheme="minorHAnsi"/>
          <w:b/>
          <w:sz w:val="20"/>
          <w:szCs w:val="21"/>
        </w:rPr>
        <w:t xml:space="preserve">. </w:t>
      </w:r>
      <w:r w:rsidR="00395BFD" w:rsidRPr="000A4B16">
        <w:rPr>
          <w:rFonts w:cstheme="minorHAnsi"/>
          <w:sz w:val="20"/>
          <w:szCs w:val="21"/>
        </w:rPr>
        <w:t xml:space="preserve">At this time, </w:t>
      </w:r>
      <w:r w:rsidR="00800B47" w:rsidRPr="000A4B16">
        <w:rPr>
          <w:rFonts w:cstheme="minorHAnsi"/>
          <w:sz w:val="20"/>
          <w:szCs w:val="21"/>
        </w:rPr>
        <w:t>increases</w:t>
      </w:r>
      <w:r w:rsidR="006E4A63" w:rsidRPr="000A4B16">
        <w:rPr>
          <w:rFonts w:cstheme="minorHAnsi"/>
          <w:sz w:val="20"/>
          <w:szCs w:val="21"/>
        </w:rPr>
        <w:t xml:space="preserve"> </w:t>
      </w:r>
      <w:r w:rsidR="00800B47" w:rsidRPr="000A4B16">
        <w:rPr>
          <w:rFonts w:cstheme="minorHAnsi"/>
          <w:sz w:val="20"/>
          <w:szCs w:val="21"/>
        </w:rPr>
        <w:t>were seen in</w:t>
      </w:r>
      <w:r w:rsidR="006E4A63" w:rsidRPr="000A4B16">
        <w:rPr>
          <w:rFonts w:cstheme="minorHAnsi"/>
          <w:sz w:val="20"/>
          <w:szCs w:val="21"/>
        </w:rPr>
        <w:t xml:space="preserve"> Criminal Damage</w:t>
      </w:r>
      <w:r w:rsidR="00800B47" w:rsidRPr="000A4B16">
        <w:rPr>
          <w:rFonts w:cstheme="minorHAnsi"/>
          <w:sz w:val="20"/>
          <w:szCs w:val="21"/>
        </w:rPr>
        <w:t xml:space="preserve"> (</w:t>
      </w:r>
      <w:r w:rsidR="00800B47" w:rsidRPr="000A4B16">
        <w:rPr>
          <w:rFonts w:cstheme="minorHAnsi"/>
          <w:i/>
          <w:sz w:val="20"/>
          <w:szCs w:val="21"/>
        </w:rPr>
        <w:t>Vandalism and Malicious Damage</w:t>
      </w:r>
      <w:r w:rsidR="00800B47" w:rsidRPr="000A4B16">
        <w:rPr>
          <w:rFonts w:cstheme="minorHAnsi"/>
          <w:sz w:val="20"/>
          <w:szCs w:val="21"/>
        </w:rPr>
        <w:t xml:space="preserve">) and Serious Line of Route crime </w:t>
      </w:r>
      <w:r w:rsidR="003973F2" w:rsidRPr="000A4B16">
        <w:rPr>
          <w:rFonts w:cstheme="minorHAnsi"/>
          <w:sz w:val="20"/>
          <w:szCs w:val="21"/>
        </w:rPr>
        <w:t>(</w:t>
      </w:r>
      <w:r w:rsidR="00800B47" w:rsidRPr="000A4B16">
        <w:rPr>
          <w:rFonts w:cstheme="minorHAnsi"/>
          <w:i/>
          <w:sz w:val="20"/>
          <w:szCs w:val="21"/>
        </w:rPr>
        <w:t>Culpable and Reckless Conduct and Malicious Obstruction</w:t>
      </w:r>
      <w:r w:rsidR="003973F2" w:rsidRPr="000A4B16">
        <w:rPr>
          <w:rFonts w:cstheme="minorHAnsi"/>
          <w:sz w:val="20"/>
          <w:szCs w:val="21"/>
        </w:rPr>
        <w:t xml:space="preserve">) which linked to a wider </w:t>
      </w:r>
      <w:r w:rsidR="00201E62" w:rsidRPr="000A4B16">
        <w:rPr>
          <w:rFonts w:cstheme="minorHAnsi"/>
          <w:sz w:val="20"/>
          <w:szCs w:val="21"/>
        </w:rPr>
        <w:t xml:space="preserve">divisional </w:t>
      </w:r>
      <w:r w:rsidR="003973F2" w:rsidRPr="000A4B16">
        <w:rPr>
          <w:rFonts w:cstheme="minorHAnsi"/>
          <w:sz w:val="20"/>
          <w:szCs w:val="21"/>
        </w:rPr>
        <w:t xml:space="preserve">trend of crime </w:t>
      </w:r>
      <w:r w:rsidR="00201E62" w:rsidRPr="000A4B16">
        <w:rPr>
          <w:rFonts w:cstheme="minorHAnsi"/>
          <w:sz w:val="20"/>
          <w:szCs w:val="21"/>
        </w:rPr>
        <w:t>linked to</w:t>
      </w:r>
      <w:r w:rsidR="00800B47" w:rsidRPr="000A4B16">
        <w:rPr>
          <w:rFonts w:cstheme="minorHAnsi"/>
          <w:sz w:val="20"/>
          <w:szCs w:val="21"/>
        </w:rPr>
        <w:t xml:space="preserve"> young offenders</w:t>
      </w:r>
      <w:r w:rsidR="006E4A63" w:rsidRPr="000A4B16">
        <w:rPr>
          <w:rFonts w:cstheme="minorHAnsi"/>
          <w:sz w:val="20"/>
          <w:szCs w:val="21"/>
        </w:rPr>
        <w:t xml:space="preserve">. </w:t>
      </w:r>
      <w:r w:rsidR="00320F78" w:rsidRPr="000A4B16">
        <w:rPr>
          <w:rFonts w:cstheme="minorHAnsi"/>
          <w:sz w:val="20"/>
          <w:szCs w:val="21"/>
        </w:rPr>
        <w:t>A</w:t>
      </w:r>
      <w:r w:rsidR="007C7908" w:rsidRPr="000A4B16">
        <w:rPr>
          <w:rFonts w:cstheme="minorHAnsi"/>
          <w:sz w:val="20"/>
          <w:szCs w:val="21"/>
        </w:rPr>
        <w:t xml:space="preserve">s the table below shows, there was a marked drop in crime </w:t>
      </w:r>
      <w:r w:rsidR="00AA2DF0" w:rsidRPr="000A4B16">
        <w:rPr>
          <w:rFonts w:cstheme="minorHAnsi"/>
          <w:sz w:val="20"/>
          <w:szCs w:val="21"/>
        </w:rPr>
        <w:t>in December</w:t>
      </w:r>
      <w:r w:rsidR="00D614B3" w:rsidRPr="000A4B16">
        <w:rPr>
          <w:rFonts w:cstheme="minorHAnsi"/>
          <w:sz w:val="20"/>
          <w:szCs w:val="21"/>
        </w:rPr>
        <w:t xml:space="preserve"> (-</w:t>
      </w:r>
      <w:r w:rsidR="00174BA5" w:rsidRPr="000A4B16">
        <w:rPr>
          <w:rFonts w:cstheme="minorHAnsi"/>
          <w:sz w:val="20"/>
          <w:szCs w:val="21"/>
        </w:rPr>
        <w:t>16%</w:t>
      </w:r>
      <w:r w:rsidR="00D614B3" w:rsidRPr="000A4B16">
        <w:rPr>
          <w:rFonts w:cstheme="minorHAnsi"/>
          <w:sz w:val="20"/>
          <w:szCs w:val="21"/>
        </w:rPr>
        <w:t xml:space="preserve"> compared with November).</w:t>
      </w:r>
      <w:r w:rsidR="007C7908" w:rsidRPr="000A4B16">
        <w:rPr>
          <w:rFonts w:cstheme="minorHAnsi"/>
          <w:sz w:val="20"/>
          <w:szCs w:val="21"/>
        </w:rPr>
        <w:t xml:space="preserve"> </w:t>
      </w:r>
    </w:p>
    <w:p w:rsidR="008F48F4" w:rsidRDefault="00495D76" w:rsidP="001C3B83">
      <w:pPr>
        <w:jc w:val="center"/>
      </w:pPr>
      <w:r>
        <w:rPr>
          <w:noProof/>
        </w:rPr>
        <w:drawing>
          <wp:inline distT="0" distB="0" distL="0" distR="0" wp14:anchorId="7A36AA7B" wp14:editId="1E3729D8">
            <wp:extent cx="4257040" cy="2077155"/>
            <wp:effectExtent l="0" t="0" r="0" b="0"/>
            <wp:docPr id="1" name="Chart 1">
              <a:extLst xmlns:a="http://schemas.openxmlformats.org/drawingml/2006/main">
                <a:ext uri="{FF2B5EF4-FFF2-40B4-BE49-F238E27FC236}">
                  <a16:creationId xmlns:a16="http://schemas.microsoft.com/office/drawing/2014/main" id="{2279CAB8-CE10-42F5-A7A1-0841E718C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14B3" w:rsidRPr="000A4B16" w:rsidRDefault="00F56685" w:rsidP="00F56685">
      <w:pPr>
        <w:jc w:val="both"/>
        <w:rPr>
          <w:rFonts w:cstheme="minorHAnsi"/>
          <w:sz w:val="20"/>
          <w:szCs w:val="21"/>
        </w:rPr>
      </w:pPr>
      <w:r w:rsidRPr="000A4B16">
        <w:rPr>
          <w:rFonts w:cstheme="minorHAnsi"/>
          <w:b/>
          <w:sz w:val="20"/>
          <w:szCs w:val="21"/>
        </w:rPr>
        <w:t xml:space="preserve">December </w:t>
      </w:r>
      <w:r w:rsidR="00721B87" w:rsidRPr="000A4B16">
        <w:rPr>
          <w:rFonts w:cstheme="minorHAnsi"/>
          <w:b/>
          <w:sz w:val="20"/>
          <w:szCs w:val="21"/>
        </w:rPr>
        <w:t xml:space="preserve">crime </w:t>
      </w:r>
      <w:r w:rsidR="00D94703" w:rsidRPr="000A4B16">
        <w:rPr>
          <w:rFonts w:cstheme="minorHAnsi"/>
          <w:b/>
          <w:sz w:val="20"/>
          <w:szCs w:val="21"/>
        </w:rPr>
        <w:t>was</w:t>
      </w:r>
      <w:r w:rsidR="00D614B3" w:rsidRPr="000A4B16">
        <w:rPr>
          <w:rFonts w:cstheme="minorHAnsi"/>
          <w:b/>
          <w:sz w:val="20"/>
          <w:szCs w:val="21"/>
        </w:rPr>
        <w:t xml:space="preserve"> 40</w:t>
      </w:r>
      <w:r w:rsidR="001C3B83" w:rsidRPr="000A4B16">
        <w:rPr>
          <w:rFonts w:cstheme="minorHAnsi"/>
          <w:b/>
          <w:sz w:val="20"/>
          <w:szCs w:val="21"/>
        </w:rPr>
        <w:t>%</w:t>
      </w:r>
      <w:r w:rsidRPr="000A4B16">
        <w:rPr>
          <w:rFonts w:cstheme="minorHAnsi"/>
          <w:b/>
          <w:sz w:val="20"/>
          <w:szCs w:val="21"/>
        </w:rPr>
        <w:t xml:space="preserve"> </w:t>
      </w:r>
      <w:r w:rsidR="00D94703" w:rsidRPr="000A4B16">
        <w:rPr>
          <w:rFonts w:cstheme="minorHAnsi"/>
          <w:b/>
          <w:sz w:val="20"/>
          <w:szCs w:val="21"/>
        </w:rPr>
        <w:t xml:space="preserve">lower than last year </w:t>
      </w:r>
      <w:r w:rsidR="00721B87" w:rsidRPr="000A4B16">
        <w:rPr>
          <w:rFonts w:cstheme="minorHAnsi"/>
          <w:b/>
          <w:sz w:val="20"/>
          <w:szCs w:val="21"/>
        </w:rPr>
        <w:t>(-72</w:t>
      </w:r>
      <w:r w:rsidR="00D94703" w:rsidRPr="000A4B16">
        <w:rPr>
          <w:rFonts w:cstheme="minorHAnsi"/>
          <w:b/>
          <w:sz w:val="20"/>
          <w:szCs w:val="21"/>
        </w:rPr>
        <w:t xml:space="preserve"> crimes</w:t>
      </w:r>
      <w:r w:rsidR="00721B87" w:rsidRPr="000A4B16">
        <w:rPr>
          <w:rFonts w:cstheme="minorHAnsi"/>
          <w:b/>
          <w:sz w:val="20"/>
          <w:szCs w:val="21"/>
        </w:rPr>
        <w:t>)</w:t>
      </w:r>
      <w:r w:rsidR="00455662" w:rsidRPr="000A4B16">
        <w:rPr>
          <w:rFonts w:cstheme="minorHAnsi"/>
          <w:b/>
          <w:sz w:val="20"/>
          <w:szCs w:val="21"/>
        </w:rPr>
        <w:t xml:space="preserve"> and this can be attributed to the tightening of restrictions and impact of COVID</w:t>
      </w:r>
      <w:r w:rsidR="0060467F" w:rsidRPr="000A4B16">
        <w:rPr>
          <w:rFonts w:cstheme="minorHAnsi"/>
          <w:b/>
          <w:sz w:val="20"/>
          <w:szCs w:val="21"/>
        </w:rPr>
        <w:t xml:space="preserve">. </w:t>
      </w:r>
      <w:r w:rsidR="00D614B3" w:rsidRPr="000A4B16">
        <w:rPr>
          <w:rFonts w:cstheme="minorHAnsi"/>
          <w:sz w:val="20"/>
          <w:szCs w:val="21"/>
        </w:rPr>
        <w:t>The charts below show that</w:t>
      </w:r>
      <w:r w:rsidR="00AF410C" w:rsidRPr="000A4B16">
        <w:rPr>
          <w:rFonts w:cstheme="minorHAnsi"/>
          <w:sz w:val="20"/>
          <w:szCs w:val="21"/>
        </w:rPr>
        <w:t xml:space="preserve"> while</w:t>
      </w:r>
      <w:r w:rsidR="00D614B3" w:rsidRPr="000A4B16">
        <w:rPr>
          <w:rFonts w:cstheme="minorHAnsi"/>
          <w:sz w:val="20"/>
          <w:szCs w:val="21"/>
        </w:rPr>
        <w:t xml:space="preserve"> daily averages were only slightly lower</w:t>
      </w:r>
      <w:r w:rsidR="009C4AF1" w:rsidRPr="000A4B16">
        <w:rPr>
          <w:rFonts w:cstheme="minorHAnsi"/>
          <w:sz w:val="20"/>
          <w:szCs w:val="21"/>
        </w:rPr>
        <w:t xml:space="preserve"> than last December</w:t>
      </w:r>
      <w:r w:rsidR="00D614B3" w:rsidRPr="000A4B16">
        <w:rPr>
          <w:rFonts w:cstheme="minorHAnsi"/>
          <w:sz w:val="20"/>
          <w:szCs w:val="21"/>
        </w:rPr>
        <w:t xml:space="preserve">, there was </w:t>
      </w:r>
      <w:r w:rsidR="00174BA5" w:rsidRPr="000A4B16">
        <w:rPr>
          <w:rFonts w:cstheme="minorHAnsi"/>
          <w:sz w:val="20"/>
          <w:szCs w:val="21"/>
        </w:rPr>
        <w:t xml:space="preserve">a </w:t>
      </w:r>
      <w:r w:rsidR="00320F78" w:rsidRPr="000A4B16">
        <w:rPr>
          <w:rFonts w:cstheme="minorHAnsi"/>
          <w:sz w:val="20"/>
          <w:szCs w:val="21"/>
        </w:rPr>
        <w:t>complete</w:t>
      </w:r>
      <w:r w:rsidR="00AF410C" w:rsidRPr="000A4B16">
        <w:rPr>
          <w:rFonts w:cstheme="minorHAnsi"/>
          <w:sz w:val="20"/>
          <w:szCs w:val="21"/>
        </w:rPr>
        <w:t xml:space="preserve"> absence of </w:t>
      </w:r>
      <w:r w:rsidRPr="000A4B16">
        <w:rPr>
          <w:rFonts w:cstheme="minorHAnsi"/>
          <w:sz w:val="20"/>
          <w:szCs w:val="21"/>
        </w:rPr>
        <w:t xml:space="preserve">the </w:t>
      </w:r>
      <w:r w:rsidR="00AF410C" w:rsidRPr="000A4B16">
        <w:rPr>
          <w:rFonts w:cstheme="minorHAnsi"/>
          <w:sz w:val="20"/>
          <w:szCs w:val="21"/>
        </w:rPr>
        <w:t>spike</w:t>
      </w:r>
      <w:r w:rsidRPr="000A4B16">
        <w:rPr>
          <w:rFonts w:cstheme="minorHAnsi"/>
          <w:sz w:val="20"/>
          <w:szCs w:val="21"/>
        </w:rPr>
        <w:t xml:space="preserve"> in rail usage Christmas Eve – Boxing Day that</w:t>
      </w:r>
      <w:r w:rsidR="000D3829" w:rsidRPr="000A4B16">
        <w:rPr>
          <w:rFonts w:cstheme="minorHAnsi"/>
          <w:sz w:val="20"/>
          <w:szCs w:val="21"/>
        </w:rPr>
        <w:t xml:space="preserve"> has been seen previously</w:t>
      </w:r>
      <w:r w:rsidR="00721B87" w:rsidRPr="000A4B16">
        <w:rPr>
          <w:rFonts w:cstheme="minorHAnsi"/>
          <w:sz w:val="20"/>
          <w:szCs w:val="21"/>
        </w:rPr>
        <w:t xml:space="preserve"> (</w:t>
      </w:r>
      <w:r w:rsidR="00455662" w:rsidRPr="000A4B16">
        <w:rPr>
          <w:rFonts w:cstheme="minorHAnsi"/>
          <w:sz w:val="20"/>
          <w:szCs w:val="21"/>
        </w:rPr>
        <w:t>i</w:t>
      </w:r>
      <w:r w:rsidR="00721B87" w:rsidRPr="000A4B16">
        <w:rPr>
          <w:rFonts w:cstheme="minorHAnsi"/>
          <w:sz w:val="20"/>
          <w:szCs w:val="21"/>
        </w:rPr>
        <w:t>t is of note that n</w:t>
      </w:r>
      <w:r w:rsidR="009C4AF1" w:rsidRPr="000A4B16">
        <w:rPr>
          <w:rFonts w:cstheme="minorHAnsi"/>
          <w:sz w:val="20"/>
          <w:szCs w:val="21"/>
        </w:rPr>
        <w:t>ational figures</w:t>
      </w:r>
      <w:r w:rsidR="00D94703" w:rsidRPr="000A4B16">
        <w:rPr>
          <w:rFonts w:cstheme="minorHAnsi"/>
          <w:sz w:val="20"/>
          <w:szCs w:val="21"/>
        </w:rPr>
        <w:t xml:space="preserve"> for retail</w:t>
      </w:r>
      <w:r w:rsidR="009C4AF1" w:rsidRPr="000A4B16">
        <w:rPr>
          <w:rFonts w:cstheme="minorHAnsi"/>
          <w:sz w:val="20"/>
          <w:szCs w:val="21"/>
        </w:rPr>
        <w:t xml:space="preserve"> in Scotland report a 15% reduction in December sales</w:t>
      </w:r>
      <w:r w:rsidR="00721B87" w:rsidRPr="000A4B16">
        <w:rPr>
          <w:rFonts w:cstheme="minorHAnsi"/>
          <w:sz w:val="20"/>
          <w:szCs w:val="21"/>
        </w:rPr>
        <w:t>)</w:t>
      </w:r>
      <w:r w:rsidR="009C4AF1" w:rsidRPr="000A4B16">
        <w:rPr>
          <w:rFonts w:cstheme="minorHAnsi"/>
          <w:sz w:val="20"/>
          <w:szCs w:val="21"/>
        </w:rPr>
        <w:t>.</w:t>
      </w:r>
    </w:p>
    <w:p w:rsidR="009A1128" w:rsidRDefault="009C4AF1" w:rsidP="00F56685">
      <w:pPr>
        <w:jc w:val="both"/>
        <w:rPr>
          <w:rFonts w:cstheme="minorHAnsi"/>
          <w:sz w:val="21"/>
          <w:szCs w:val="21"/>
        </w:rPr>
      </w:pPr>
      <w:r>
        <w:rPr>
          <w:b/>
          <w:noProof/>
        </w:rPr>
        <mc:AlternateContent>
          <mc:Choice Requires="wps">
            <w:drawing>
              <wp:anchor distT="0" distB="0" distL="114300" distR="114300" simplePos="0" relativeHeight="251665408" behindDoc="1" locked="0" layoutInCell="1" allowOverlap="1">
                <wp:simplePos x="0" y="0"/>
                <wp:positionH relativeFrom="column">
                  <wp:posOffset>1241571</wp:posOffset>
                </wp:positionH>
                <wp:positionV relativeFrom="paragraph">
                  <wp:posOffset>40891</wp:posOffset>
                </wp:positionV>
                <wp:extent cx="3454400" cy="1635684"/>
                <wp:effectExtent l="0" t="0" r="0" b="3175"/>
                <wp:wrapNone/>
                <wp:docPr id="19" name="Rectangle 19"/>
                <wp:cNvGraphicFramePr/>
                <a:graphic xmlns:a="http://schemas.openxmlformats.org/drawingml/2006/main">
                  <a:graphicData uri="http://schemas.microsoft.com/office/word/2010/wordprocessingShape">
                    <wps:wsp>
                      <wps:cNvSpPr/>
                      <wps:spPr>
                        <a:xfrm>
                          <a:off x="0" y="0"/>
                          <a:ext cx="3454400" cy="16356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B2FA2" id="Rectangle 19" o:spid="_x0000_s1026" style="position:absolute;margin-left:97.75pt;margin-top:3.2pt;width:272pt;height:128.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zxoA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" fillcolor="#bfbfbf [2412]" stroked="f" strokeweight="1pt"/>
            </w:pict>
          </mc:Fallback>
        </mc:AlternateContent>
      </w:r>
      <w:r w:rsidRPr="0052356B">
        <w:rPr>
          <w:b/>
          <w:noProof/>
        </w:rPr>
        <w:drawing>
          <wp:anchor distT="0" distB="0" distL="114300" distR="114300" simplePos="0" relativeHeight="251663360" behindDoc="1" locked="0" layoutInCell="1" allowOverlap="1" wp14:anchorId="72CE6E38">
            <wp:simplePos x="0" y="0"/>
            <wp:positionH relativeFrom="column">
              <wp:posOffset>2990215</wp:posOffset>
            </wp:positionH>
            <wp:positionV relativeFrom="paragraph">
              <wp:posOffset>131445</wp:posOffset>
            </wp:positionV>
            <wp:extent cx="1636395" cy="1445895"/>
            <wp:effectExtent l="0" t="0" r="1905" b="1905"/>
            <wp:wrapTight wrapText="bothSides">
              <wp:wrapPolygon edited="0">
                <wp:start x="0" y="0"/>
                <wp:lineTo x="0" y="21344"/>
                <wp:lineTo x="21374" y="21344"/>
                <wp:lineTo x="21374" y="0"/>
                <wp:lineTo x="0" y="0"/>
              </wp:wrapPolygon>
            </wp:wrapTight>
            <wp:docPr id="16" name="Chart 16">
              <a:extLst xmlns:a="http://schemas.openxmlformats.org/drawingml/2006/main">
                <a:ext uri="{FF2B5EF4-FFF2-40B4-BE49-F238E27FC236}">
                  <a16:creationId xmlns:a16="http://schemas.microsoft.com/office/drawing/2014/main" id="{91BD62AB-BB48-4CD8-89F4-E95819CAFF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52356B">
        <w:rPr>
          <w:b/>
          <w:noProof/>
        </w:rPr>
        <w:drawing>
          <wp:anchor distT="0" distB="0" distL="114300" distR="114300" simplePos="0" relativeHeight="251664384" behindDoc="1" locked="0" layoutInCell="1" allowOverlap="1" wp14:anchorId="692C9AA8">
            <wp:simplePos x="0" y="0"/>
            <wp:positionH relativeFrom="column">
              <wp:posOffset>1308735</wp:posOffset>
            </wp:positionH>
            <wp:positionV relativeFrom="paragraph">
              <wp:posOffset>128748</wp:posOffset>
            </wp:positionV>
            <wp:extent cx="1590675" cy="1445895"/>
            <wp:effectExtent l="0" t="0" r="9525" b="1905"/>
            <wp:wrapTight wrapText="bothSides">
              <wp:wrapPolygon edited="0">
                <wp:start x="0" y="0"/>
                <wp:lineTo x="0" y="21344"/>
                <wp:lineTo x="21471" y="21344"/>
                <wp:lineTo x="21471" y="0"/>
                <wp:lineTo x="0" y="0"/>
              </wp:wrapPolygon>
            </wp:wrapTight>
            <wp:docPr id="17" name="Chart 17">
              <a:extLst xmlns:a="http://schemas.openxmlformats.org/drawingml/2006/main">
                <a:ext uri="{FF2B5EF4-FFF2-40B4-BE49-F238E27FC236}">
                  <a16:creationId xmlns:a16="http://schemas.microsoft.com/office/drawing/2014/main" id="{F79105BA-88AD-4321-8151-1F313E69C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0B7575" w:rsidRDefault="009C4AF1" w:rsidP="00F56685">
      <w:pPr>
        <w:jc w:val="both"/>
        <w:rPr>
          <w:rFonts w:cstheme="minorHAnsi"/>
          <w:sz w:val="21"/>
          <w:szCs w:val="21"/>
        </w:rPr>
      </w:pPr>
      <w:r>
        <w:rPr>
          <w:rFonts w:cstheme="minorHAnsi"/>
          <w:noProof/>
          <w:sz w:val="21"/>
          <w:szCs w:val="21"/>
        </w:rPr>
        <mc:AlternateContent>
          <mc:Choice Requires="wps">
            <w:drawing>
              <wp:anchor distT="0" distB="0" distL="114300" distR="114300" simplePos="0" relativeHeight="251666432" behindDoc="0" locked="0" layoutInCell="1" allowOverlap="1">
                <wp:simplePos x="0" y="0"/>
                <wp:positionH relativeFrom="column">
                  <wp:posOffset>2305050</wp:posOffset>
                </wp:positionH>
                <wp:positionV relativeFrom="paragraph">
                  <wp:posOffset>217805</wp:posOffset>
                </wp:positionV>
                <wp:extent cx="519430" cy="1027289"/>
                <wp:effectExtent l="19050" t="19050" r="13970" b="20955"/>
                <wp:wrapNone/>
                <wp:docPr id="20" name="Rectangle: Rounded Corners 20"/>
                <wp:cNvGraphicFramePr/>
                <a:graphic xmlns:a="http://schemas.openxmlformats.org/drawingml/2006/main">
                  <a:graphicData uri="http://schemas.microsoft.com/office/word/2010/wordprocessingShape">
                    <wps:wsp>
                      <wps:cNvSpPr/>
                      <wps:spPr>
                        <a:xfrm>
                          <a:off x="0" y="0"/>
                          <a:ext cx="519430" cy="1027289"/>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76869D" id="Rectangle: Rounded Corners 20" o:spid="_x0000_s1026" style="position:absolute;margin-left:181.5pt;margin-top:17.15pt;width:40.9pt;height:80.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" filled="f" strokecolor="#c00000" strokeweight="2.25pt">
                <v:stroke joinstyle="miter"/>
              </v:roundrect>
            </w:pict>
          </mc:Fallback>
        </mc:AlternateContent>
      </w:r>
    </w:p>
    <w:p w:rsidR="004205F7" w:rsidRDefault="004205F7" w:rsidP="00F56685">
      <w:pPr>
        <w:jc w:val="both"/>
        <w:rPr>
          <w:rFonts w:cstheme="minorHAnsi"/>
          <w:sz w:val="21"/>
          <w:szCs w:val="21"/>
        </w:rPr>
      </w:pPr>
    </w:p>
    <w:p w:rsidR="004205F7" w:rsidRDefault="004205F7" w:rsidP="00F56685">
      <w:pPr>
        <w:jc w:val="both"/>
        <w:rPr>
          <w:rFonts w:cstheme="minorHAnsi"/>
          <w:sz w:val="21"/>
          <w:szCs w:val="21"/>
        </w:rPr>
      </w:pPr>
    </w:p>
    <w:p w:rsidR="00174BA5" w:rsidRDefault="00174BA5" w:rsidP="009426A0">
      <w:pPr>
        <w:jc w:val="both"/>
        <w:rPr>
          <w:rFonts w:cstheme="minorHAnsi"/>
          <w:b/>
          <w:sz w:val="21"/>
          <w:szCs w:val="21"/>
        </w:rPr>
      </w:pPr>
    </w:p>
    <w:p w:rsidR="009C4AF1" w:rsidRDefault="009C4AF1" w:rsidP="009426A0">
      <w:pPr>
        <w:jc w:val="both"/>
        <w:rPr>
          <w:rFonts w:cstheme="minorHAnsi"/>
          <w:b/>
          <w:sz w:val="21"/>
          <w:szCs w:val="21"/>
        </w:rPr>
      </w:pPr>
    </w:p>
    <w:p w:rsidR="00B410EE" w:rsidRPr="000A4B16" w:rsidRDefault="009C4AF1" w:rsidP="009426A0">
      <w:pPr>
        <w:jc w:val="both"/>
        <w:rPr>
          <w:rFonts w:cstheme="minorHAnsi"/>
          <w:sz w:val="20"/>
          <w:szCs w:val="21"/>
        </w:rPr>
      </w:pPr>
      <w:r w:rsidRPr="000A4B16">
        <w:rPr>
          <w:rFonts w:cstheme="minorHAnsi"/>
          <w:sz w:val="20"/>
          <w:szCs w:val="21"/>
        </w:rPr>
        <w:t>T</w:t>
      </w:r>
      <w:r w:rsidR="0008704E" w:rsidRPr="000A4B16">
        <w:rPr>
          <w:rFonts w:cstheme="minorHAnsi"/>
          <w:sz w:val="20"/>
          <w:szCs w:val="21"/>
        </w:rPr>
        <w:t>he profile</w:t>
      </w:r>
      <w:r w:rsidR="000D3829" w:rsidRPr="000A4B16">
        <w:rPr>
          <w:rFonts w:cstheme="minorHAnsi"/>
          <w:sz w:val="20"/>
          <w:szCs w:val="21"/>
        </w:rPr>
        <w:t xml:space="preserve"> </w:t>
      </w:r>
      <w:r w:rsidR="00D94703" w:rsidRPr="000A4B16">
        <w:rPr>
          <w:rFonts w:cstheme="minorHAnsi"/>
          <w:sz w:val="20"/>
          <w:szCs w:val="21"/>
        </w:rPr>
        <w:t xml:space="preserve">of crime </w:t>
      </w:r>
      <w:r w:rsidR="000D3829" w:rsidRPr="000A4B16">
        <w:rPr>
          <w:rFonts w:cstheme="minorHAnsi"/>
          <w:sz w:val="20"/>
          <w:szCs w:val="21"/>
        </w:rPr>
        <w:t>has</w:t>
      </w:r>
      <w:r w:rsidR="00455662" w:rsidRPr="000A4B16">
        <w:rPr>
          <w:rFonts w:cstheme="minorHAnsi"/>
          <w:sz w:val="20"/>
          <w:szCs w:val="21"/>
        </w:rPr>
        <w:t xml:space="preserve"> </w:t>
      </w:r>
      <w:r w:rsidRPr="000A4B16">
        <w:rPr>
          <w:rFonts w:cstheme="minorHAnsi"/>
          <w:sz w:val="20"/>
          <w:szCs w:val="21"/>
        </w:rPr>
        <w:t xml:space="preserve">changed </w:t>
      </w:r>
      <w:proofErr w:type="gramStart"/>
      <w:r w:rsidR="00A1191D" w:rsidRPr="000A4B16">
        <w:rPr>
          <w:rFonts w:cstheme="minorHAnsi"/>
          <w:sz w:val="20"/>
          <w:szCs w:val="21"/>
        </w:rPr>
        <w:t>as a result of</w:t>
      </w:r>
      <w:proofErr w:type="gramEnd"/>
      <w:r w:rsidR="00A1191D" w:rsidRPr="000A4B16">
        <w:rPr>
          <w:rFonts w:cstheme="minorHAnsi"/>
          <w:sz w:val="20"/>
          <w:szCs w:val="21"/>
        </w:rPr>
        <w:t xml:space="preserve"> fall</w:t>
      </w:r>
      <w:r w:rsidRPr="000A4B16">
        <w:rPr>
          <w:rFonts w:cstheme="minorHAnsi"/>
          <w:sz w:val="20"/>
          <w:szCs w:val="21"/>
        </w:rPr>
        <w:t xml:space="preserve"> in passenger </w:t>
      </w:r>
      <w:r w:rsidR="00A1191D" w:rsidRPr="000A4B16">
        <w:rPr>
          <w:rFonts w:cstheme="minorHAnsi"/>
          <w:sz w:val="20"/>
          <w:szCs w:val="21"/>
        </w:rPr>
        <w:t>numbers</w:t>
      </w:r>
      <w:r w:rsidRPr="000A4B16">
        <w:rPr>
          <w:rFonts w:cstheme="minorHAnsi"/>
          <w:sz w:val="20"/>
          <w:szCs w:val="21"/>
        </w:rPr>
        <w:t xml:space="preserve"> and </w:t>
      </w:r>
      <w:r w:rsidR="00A1191D" w:rsidRPr="000A4B16">
        <w:rPr>
          <w:rFonts w:cstheme="minorHAnsi"/>
          <w:sz w:val="20"/>
          <w:szCs w:val="21"/>
        </w:rPr>
        <w:t xml:space="preserve">this has impacted on </w:t>
      </w:r>
      <w:r w:rsidR="000D3829" w:rsidRPr="000A4B16">
        <w:rPr>
          <w:rFonts w:cstheme="minorHAnsi"/>
          <w:sz w:val="20"/>
          <w:szCs w:val="21"/>
        </w:rPr>
        <w:t>volume crime</w:t>
      </w:r>
      <w:r w:rsidR="00A1191D" w:rsidRPr="000A4B16">
        <w:rPr>
          <w:rFonts w:cstheme="minorHAnsi"/>
          <w:sz w:val="20"/>
          <w:szCs w:val="21"/>
        </w:rPr>
        <w:t xml:space="preserve"> such as </w:t>
      </w:r>
      <w:r w:rsidR="007E4893" w:rsidRPr="000A4B16">
        <w:rPr>
          <w:rFonts w:cstheme="minorHAnsi"/>
          <w:sz w:val="20"/>
          <w:szCs w:val="21"/>
        </w:rPr>
        <w:t>Theft of Passenger Property</w:t>
      </w:r>
      <w:r w:rsidR="0060467F" w:rsidRPr="000A4B16">
        <w:rPr>
          <w:rFonts w:cstheme="minorHAnsi"/>
          <w:sz w:val="20"/>
          <w:szCs w:val="21"/>
        </w:rPr>
        <w:t>,</w:t>
      </w:r>
      <w:r w:rsidR="007E4893" w:rsidRPr="000A4B16">
        <w:rPr>
          <w:rFonts w:cstheme="minorHAnsi"/>
          <w:sz w:val="20"/>
          <w:szCs w:val="21"/>
        </w:rPr>
        <w:t xml:space="preserve"> which has seen the largest decrease</w:t>
      </w:r>
      <w:r w:rsidR="0060467F" w:rsidRPr="000A4B16">
        <w:rPr>
          <w:rFonts w:cstheme="minorHAnsi"/>
          <w:sz w:val="20"/>
          <w:szCs w:val="21"/>
        </w:rPr>
        <w:t xml:space="preserve"> </w:t>
      </w:r>
      <w:r w:rsidR="00A1191D" w:rsidRPr="000A4B16">
        <w:rPr>
          <w:rFonts w:cstheme="minorHAnsi"/>
          <w:sz w:val="20"/>
          <w:szCs w:val="21"/>
        </w:rPr>
        <w:t>YTD (</w:t>
      </w:r>
      <w:r w:rsidR="0060467F" w:rsidRPr="000A4B16">
        <w:rPr>
          <w:rFonts w:cstheme="minorHAnsi"/>
          <w:sz w:val="20"/>
          <w:szCs w:val="21"/>
        </w:rPr>
        <w:t xml:space="preserve">70 </w:t>
      </w:r>
      <w:r w:rsidR="00D94703" w:rsidRPr="000A4B16">
        <w:rPr>
          <w:rFonts w:cstheme="minorHAnsi"/>
          <w:sz w:val="20"/>
          <w:szCs w:val="21"/>
        </w:rPr>
        <w:t>crimes, -</w:t>
      </w:r>
      <w:r w:rsidR="007E4893" w:rsidRPr="000A4B16">
        <w:rPr>
          <w:rFonts w:cstheme="minorHAnsi"/>
          <w:sz w:val="20"/>
          <w:szCs w:val="21"/>
        </w:rPr>
        <w:t>69%, -155 crimes</w:t>
      </w:r>
      <w:r w:rsidR="00A1191D" w:rsidRPr="000A4B16">
        <w:rPr>
          <w:rFonts w:cstheme="minorHAnsi"/>
          <w:sz w:val="20"/>
          <w:szCs w:val="21"/>
        </w:rPr>
        <w:t xml:space="preserve"> from PY</w:t>
      </w:r>
      <w:r w:rsidR="007E4893" w:rsidRPr="000A4B16">
        <w:rPr>
          <w:rFonts w:cstheme="minorHAnsi"/>
          <w:sz w:val="20"/>
          <w:szCs w:val="21"/>
        </w:rPr>
        <w:t>).</w:t>
      </w:r>
      <w:r w:rsidR="0060467F" w:rsidRPr="000A4B16">
        <w:rPr>
          <w:rFonts w:eastAsiaTheme="minorEastAsia" w:hAnsi="Calibri"/>
          <w:color w:val="000000" w:themeColor="text1"/>
          <w:kern w:val="24"/>
          <w:sz w:val="28"/>
          <w:szCs w:val="29"/>
        </w:rPr>
        <w:t xml:space="preserve"> </w:t>
      </w:r>
    </w:p>
    <w:p w:rsidR="009C4AF1" w:rsidRPr="000A4B16" w:rsidRDefault="009C4AF1" w:rsidP="009C4AF1">
      <w:pPr>
        <w:jc w:val="both"/>
        <w:rPr>
          <w:rFonts w:cstheme="minorHAnsi"/>
          <w:sz w:val="20"/>
          <w:szCs w:val="21"/>
        </w:rPr>
      </w:pPr>
      <w:r w:rsidRPr="000A4B16">
        <w:rPr>
          <w:rFonts w:cs="Arial"/>
          <w:b/>
          <w:sz w:val="20"/>
          <w:szCs w:val="21"/>
        </w:rPr>
        <w:t xml:space="preserve">Violence Against the Person is </w:t>
      </w:r>
      <w:r w:rsidR="0045770A" w:rsidRPr="000A4B16">
        <w:rPr>
          <w:rFonts w:cs="Arial"/>
          <w:b/>
          <w:sz w:val="20"/>
          <w:szCs w:val="21"/>
        </w:rPr>
        <w:t xml:space="preserve">also </w:t>
      </w:r>
      <w:r w:rsidRPr="000A4B16">
        <w:rPr>
          <w:rFonts w:cstheme="minorHAnsi"/>
          <w:b/>
          <w:sz w:val="20"/>
          <w:szCs w:val="21"/>
        </w:rPr>
        <w:t xml:space="preserve">down </w:t>
      </w:r>
      <w:r w:rsidR="007E4893" w:rsidRPr="000A4B16">
        <w:rPr>
          <w:rFonts w:cstheme="minorHAnsi"/>
          <w:b/>
          <w:sz w:val="20"/>
          <w:szCs w:val="21"/>
        </w:rPr>
        <w:t>37</w:t>
      </w:r>
      <w:r w:rsidRPr="000A4B16">
        <w:rPr>
          <w:rFonts w:cstheme="minorHAnsi"/>
          <w:b/>
          <w:sz w:val="20"/>
          <w:szCs w:val="21"/>
        </w:rPr>
        <w:t>%</w:t>
      </w:r>
      <w:r w:rsidR="00FB7684" w:rsidRPr="000A4B16">
        <w:rPr>
          <w:rFonts w:cstheme="minorHAnsi"/>
          <w:b/>
          <w:sz w:val="20"/>
          <w:szCs w:val="21"/>
        </w:rPr>
        <w:t xml:space="preserve"> with a total of </w:t>
      </w:r>
      <w:r w:rsidR="007E4893" w:rsidRPr="000A4B16">
        <w:rPr>
          <w:rFonts w:cstheme="minorHAnsi"/>
          <w:b/>
          <w:sz w:val="20"/>
          <w:szCs w:val="21"/>
        </w:rPr>
        <w:t>2</w:t>
      </w:r>
      <w:r w:rsidR="00FB7684" w:rsidRPr="000A4B16">
        <w:rPr>
          <w:rFonts w:cstheme="minorHAnsi"/>
          <w:b/>
          <w:sz w:val="20"/>
          <w:szCs w:val="21"/>
        </w:rPr>
        <w:t xml:space="preserve">63 crimes YTD </w:t>
      </w:r>
      <w:r w:rsidRPr="000A4B16">
        <w:rPr>
          <w:rFonts w:cstheme="minorHAnsi"/>
          <w:b/>
          <w:sz w:val="20"/>
          <w:szCs w:val="21"/>
        </w:rPr>
        <w:t>(-</w:t>
      </w:r>
      <w:r w:rsidR="007E4893" w:rsidRPr="000A4B16">
        <w:rPr>
          <w:rFonts w:cstheme="minorHAnsi"/>
          <w:b/>
          <w:sz w:val="20"/>
          <w:szCs w:val="21"/>
        </w:rPr>
        <w:t>152</w:t>
      </w:r>
      <w:r w:rsidRPr="000A4B16">
        <w:rPr>
          <w:rFonts w:cstheme="minorHAnsi"/>
          <w:b/>
          <w:sz w:val="20"/>
          <w:szCs w:val="21"/>
        </w:rPr>
        <w:t xml:space="preserve"> crimes).</w:t>
      </w:r>
      <w:r w:rsidRPr="000A4B16">
        <w:rPr>
          <w:rFonts w:cs="Arial"/>
          <w:sz w:val="20"/>
          <w:szCs w:val="21"/>
        </w:rPr>
        <w:t xml:space="preserve"> However, violence is still the highest recording </w:t>
      </w:r>
      <w:r w:rsidR="0045770A" w:rsidRPr="000A4B16">
        <w:rPr>
          <w:rFonts w:cs="Arial"/>
          <w:sz w:val="20"/>
          <w:szCs w:val="21"/>
        </w:rPr>
        <w:t xml:space="preserve">crime </w:t>
      </w:r>
      <w:r w:rsidRPr="000A4B16">
        <w:rPr>
          <w:rFonts w:cs="Arial"/>
          <w:sz w:val="20"/>
          <w:szCs w:val="21"/>
        </w:rPr>
        <w:t>category</w:t>
      </w:r>
      <w:r w:rsidR="0060467F" w:rsidRPr="000A4B16">
        <w:rPr>
          <w:rFonts w:cs="Arial"/>
          <w:sz w:val="20"/>
          <w:szCs w:val="21"/>
        </w:rPr>
        <w:t xml:space="preserve"> and</w:t>
      </w:r>
      <w:r w:rsidR="0045770A" w:rsidRPr="000A4B16">
        <w:rPr>
          <w:rFonts w:cs="Arial"/>
          <w:sz w:val="20"/>
          <w:szCs w:val="21"/>
        </w:rPr>
        <w:t xml:space="preserve"> </w:t>
      </w:r>
      <w:r w:rsidRPr="000A4B16">
        <w:rPr>
          <w:rFonts w:cs="Arial"/>
          <w:sz w:val="20"/>
          <w:szCs w:val="21"/>
        </w:rPr>
        <w:t>account</w:t>
      </w:r>
      <w:r w:rsidR="0060467F" w:rsidRPr="000A4B16">
        <w:rPr>
          <w:rFonts w:cs="Arial"/>
          <w:sz w:val="20"/>
          <w:szCs w:val="21"/>
        </w:rPr>
        <w:t>s f</w:t>
      </w:r>
      <w:r w:rsidRPr="000A4B16">
        <w:rPr>
          <w:rFonts w:cs="Arial"/>
          <w:sz w:val="20"/>
          <w:szCs w:val="21"/>
        </w:rPr>
        <w:t>or 27% of all notifiable crime</w:t>
      </w:r>
      <w:r w:rsidR="00AE7842" w:rsidRPr="000A4B16">
        <w:rPr>
          <w:rFonts w:cs="Arial"/>
          <w:sz w:val="20"/>
          <w:szCs w:val="21"/>
        </w:rPr>
        <w:t>. The same pre-COVID patterns exist in relation to time, date and location, albeit in a reduced scale</w:t>
      </w:r>
      <w:r w:rsidR="0060467F" w:rsidRPr="000A4B16">
        <w:rPr>
          <w:rFonts w:cs="Arial"/>
          <w:sz w:val="20"/>
          <w:szCs w:val="21"/>
        </w:rPr>
        <w:t xml:space="preserve">. Within </w:t>
      </w:r>
      <w:r w:rsidR="00A1191D" w:rsidRPr="000A4B16">
        <w:rPr>
          <w:rFonts w:cs="Arial"/>
          <w:sz w:val="20"/>
          <w:szCs w:val="21"/>
        </w:rPr>
        <w:t>this category</w:t>
      </w:r>
      <w:r w:rsidR="0060467F" w:rsidRPr="000A4B16">
        <w:rPr>
          <w:rFonts w:cs="Arial"/>
          <w:sz w:val="20"/>
          <w:szCs w:val="21"/>
        </w:rPr>
        <w:t xml:space="preserve">, </w:t>
      </w:r>
      <w:r w:rsidR="007E4893" w:rsidRPr="000A4B16">
        <w:rPr>
          <w:rFonts w:cs="Arial"/>
          <w:sz w:val="20"/>
          <w:szCs w:val="21"/>
        </w:rPr>
        <w:t>163</w:t>
      </w:r>
      <w:r w:rsidR="00455662" w:rsidRPr="000A4B16">
        <w:rPr>
          <w:rFonts w:cs="Arial"/>
          <w:sz w:val="20"/>
          <w:szCs w:val="21"/>
        </w:rPr>
        <w:t xml:space="preserve"> crimes</w:t>
      </w:r>
      <w:r w:rsidR="007E4893" w:rsidRPr="000A4B16">
        <w:rPr>
          <w:rFonts w:cs="Arial"/>
          <w:sz w:val="20"/>
          <w:szCs w:val="21"/>
        </w:rPr>
        <w:t xml:space="preserve"> </w:t>
      </w:r>
      <w:r w:rsidR="007E4893" w:rsidRPr="000A4B16">
        <w:rPr>
          <w:rFonts w:cs="Arial"/>
          <w:sz w:val="20"/>
          <w:szCs w:val="21"/>
        </w:rPr>
        <w:lastRenderedPageBreak/>
        <w:t>relate to violen</w:t>
      </w:r>
      <w:r w:rsidR="0060467F" w:rsidRPr="000A4B16">
        <w:rPr>
          <w:rFonts w:cs="Arial"/>
          <w:sz w:val="20"/>
          <w:szCs w:val="21"/>
        </w:rPr>
        <w:t>t behaviour</w:t>
      </w:r>
      <w:r w:rsidR="007E4893" w:rsidRPr="000A4B16">
        <w:rPr>
          <w:rFonts w:cs="Arial"/>
          <w:sz w:val="20"/>
          <w:szCs w:val="21"/>
        </w:rPr>
        <w:t xml:space="preserve"> and 54 </w:t>
      </w:r>
      <w:r w:rsidR="0060467F" w:rsidRPr="000A4B16">
        <w:rPr>
          <w:rFonts w:cs="Arial"/>
          <w:sz w:val="20"/>
          <w:szCs w:val="21"/>
        </w:rPr>
        <w:t xml:space="preserve">to </w:t>
      </w:r>
      <w:r w:rsidR="005F0E2C" w:rsidRPr="000A4B16">
        <w:rPr>
          <w:rFonts w:cs="Arial"/>
          <w:sz w:val="20"/>
          <w:szCs w:val="21"/>
        </w:rPr>
        <w:t>weapon</w:t>
      </w:r>
      <w:r w:rsidR="0060467F" w:rsidRPr="000A4B16">
        <w:rPr>
          <w:rFonts w:cs="Arial"/>
          <w:sz w:val="20"/>
          <w:szCs w:val="21"/>
        </w:rPr>
        <w:t xml:space="preserve"> offences (</w:t>
      </w:r>
      <w:r w:rsidR="007E4893" w:rsidRPr="000A4B16">
        <w:rPr>
          <w:rFonts w:cs="Arial"/>
          <w:sz w:val="20"/>
          <w:szCs w:val="21"/>
        </w:rPr>
        <w:t>weapon</w:t>
      </w:r>
      <w:r w:rsidR="00A1191D" w:rsidRPr="000A4B16">
        <w:rPr>
          <w:rFonts w:cs="Arial"/>
          <w:sz w:val="20"/>
          <w:szCs w:val="21"/>
        </w:rPr>
        <w:t xml:space="preserve"> crime is</w:t>
      </w:r>
      <w:r w:rsidR="007E4893" w:rsidRPr="000A4B16">
        <w:rPr>
          <w:rFonts w:cs="Arial"/>
          <w:sz w:val="20"/>
          <w:szCs w:val="21"/>
        </w:rPr>
        <w:t xml:space="preserve"> discussed in </w:t>
      </w:r>
      <w:r w:rsidR="00A1191D" w:rsidRPr="000A4B16">
        <w:rPr>
          <w:rFonts w:cs="Arial"/>
          <w:sz w:val="20"/>
          <w:szCs w:val="21"/>
        </w:rPr>
        <w:t xml:space="preserve">the </w:t>
      </w:r>
      <w:r w:rsidR="007E4893" w:rsidRPr="000A4B16">
        <w:rPr>
          <w:rFonts w:cs="Arial"/>
          <w:sz w:val="20"/>
          <w:szCs w:val="21"/>
        </w:rPr>
        <w:t>section below</w:t>
      </w:r>
      <w:r w:rsidR="00455662" w:rsidRPr="000A4B16">
        <w:rPr>
          <w:rFonts w:cs="Arial"/>
          <w:sz w:val="20"/>
          <w:szCs w:val="21"/>
        </w:rPr>
        <w:t>)</w:t>
      </w:r>
      <w:r w:rsidR="007E4893" w:rsidRPr="000A4B16">
        <w:rPr>
          <w:rFonts w:cs="Arial"/>
          <w:sz w:val="20"/>
          <w:szCs w:val="21"/>
        </w:rPr>
        <w:t xml:space="preserve">. </w:t>
      </w:r>
      <w:r w:rsidRPr="000A4B16">
        <w:rPr>
          <w:rFonts w:cs="Arial"/>
          <w:sz w:val="20"/>
          <w:szCs w:val="21"/>
        </w:rPr>
        <w:t xml:space="preserve">Most violent crime on the network in Scotland is Common Assault </w:t>
      </w:r>
      <w:r w:rsidR="00A1191D" w:rsidRPr="000A4B16">
        <w:rPr>
          <w:rFonts w:cs="Arial"/>
          <w:sz w:val="20"/>
          <w:szCs w:val="21"/>
        </w:rPr>
        <w:t>which results</w:t>
      </w:r>
      <w:r w:rsidRPr="000A4B16">
        <w:rPr>
          <w:rFonts w:cs="Arial"/>
          <w:sz w:val="20"/>
          <w:szCs w:val="21"/>
        </w:rPr>
        <w:t xml:space="preserve"> in no injury (</w:t>
      </w:r>
      <w:r w:rsidR="00FB7684" w:rsidRPr="000A4B16">
        <w:rPr>
          <w:rFonts w:cs="Arial"/>
          <w:sz w:val="20"/>
          <w:szCs w:val="21"/>
        </w:rPr>
        <w:t>93</w:t>
      </w:r>
      <w:r w:rsidRPr="000A4B16">
        <w:rPr>
          <w:rFonts w:cs="Arial"/>
          <w:sz w:val="20"/>
          <w:szCs w:val="21"/>
        </w:rPr>
        <w:t>%, 152)</w:t>
      </w:r>
      <w:r w:rsidR="00FB7684" w:rsidRPr="000A4B16">
        <w:rPr>
          <w:rFonts w:cs="Arial"/>
          <w:sz w:val="20"/>
          <w:szCs w:val="21"/>
        </w:rPr>
        <w:t xml:space="preserve"> and </w:t>
      </w:r>
      <w:r w:rsidR="00455662" w:rsidRPr="000A4B16">
        <w:rPr>
          <w:rFonts w:cs="Arial"/>
          <w:sz w:val="20"/>
          <w:szCs w:val="21"/>
        </w:rPr>
        <w:t>is</w:t>
      </w:r>
      <w:r w:rsidR="0060467F" w:rsidRPr="000A4B16">
        <w:rPr>
          <w:rFonts w:cs="Arial"/>
          <w:sz w:val="20"/>
          <w:szCs w:val="21"/>
        </w:rPr>
        <w:t xml:space="preserve"> mainly</w:t>
      </w:r>
      <w:r w:rsidR="00455662" w:rsidRPr="000A4B16">
        <w:rPr>
          <w:rFonts w:cs="Arial"/>
          <w:sz w:val="20"/>
          <w:szCs w:val="21"/>
        </w:rPr>
        <w:t xml:space="preserve"> </w:t>
      </w:r>
      <w:r w:rsidR="00CC35D8" w:rsidRPr="000A4B16">
        <w:rPr>
          <w:rFonts w:cs="Arial"/>
          <w:sz w:val="20"/>
          <w:szCs w:val="21"/>
        </w:rPr>
        <w:t xml:space="preserve">related to </w:t>
      </w:r>
      <w:r w:rsidR="0060467F" w:rsidRPr="000A4B16">
        <w:rPr>
          <w:rFonts w:cs="Arial"/>
          <w:sz w:val="20"/>
          <w:szCs w:val="21"/>
        </w:rPr>
        <w:t xml:space="preserve">disputes </w:t>
      </w:r>
      <w:r w:rsidR="00455662" w:rsidRPr="000A4B16">
        <w:rPr>
          <w:rFonts w:cs="Arial"/>
          <w:sz w:val="20"/>
          <w:szCs w:val="21"/>
        </w:rPr>
        <w:t xml:space="preserve">between </w:t>
      </w:r>
      <w:r w:rsidR="00FB7684" w:rsidRPr="000A4B16">
        <w:rPr>
          <w:rFonts w:cs="Arial"/>
          <w:sz w:val="20"/>
          <w:szCs w:val="21"/>
        </w:rPr>
        <w:t>passengers</w:t>
      </w:r>
      <w:r w:rsidR="0060467F" w:rsidRPr="000A4B16">
        <w:rPr>
          <w:rFonts w:cs="Arial"/>
          <w:sz w:val="20"/>
          <w:szCs w:val="21"/>
        </w:rPr>
        <w:t>.</w:t>
      </w:r>
      <w:r w:rsidR="00455662" w:rsidRPr="000A4B16">
        <w:rPr>
          <w:rFonts w:cs="Arial"/>
          <w:sz w:val="20"/>
          <w:szCs w:val="21"/>
        </w:rPr>
        <w:t xml:space="preserve"> </w:t>
      </w:r>
      <w:r w:rsidR="00CC35D8" w:rsidRPr="000A4B16">
        <w:rPr>
          <w:rFonts w:cs="Arial"/>
          <w:sz w:val="20"/>
          <w:szCs w:val="21"/>
        </w:rPr>
        <w:t>H</w:t>
      </w:r>
      <w:r w:rsidR="00455662" w:rsidRPr="000A4B16">
        <w:rPr>
          <w:rFonts w:cs="Arial"/>
          <w:sz w:val="20"/>
          <w:szCs w:val="21"/>
        </w:rPr>
        <w:t>owever</w:t>
      </w:r>
      <w:r w:rsidR="00A1191D" w:rsidRPr="000A4B16">
        <w:rPr>
          <w:rFonts w:cs="Arial"/>
          <w:sz w:val="20"/>
          <w:szCs w:val="21"/>
        </w:rPr>
        <w:t>,</w:t>
      </w:r>
      <w:r w:rsidR="00455662" w:rsidRPr="000A4B16">
        <w:rPr>
          <w:rFonts w:cs="Arial"/>
          <w:sz w:val="20"/>
          <w:szCs w:val="21"/>
        </w:rPr>
        <w:t xml:space="preserve"> v</w:t>
      </w:r>
      <w:r w:rsidR="00FB7684" w:rsidRPr="000A4B16">
        <w:rPr>
          <w:rFonts w:cs="Arial"/>
          <w:sz w:val="20"/>
          <w:szCs w:val="21"/>
        </w:rPr>
        <w:t>iolence against staff (discussed in separate section below) accounts for 24% (37) of th</w:t>
      </w:r>
      <w:r w:rsidR="00455662" w:rsidRPr="000A4B16">
        <w:rPr>
          <w:rFonts w:cs="Arial"/>
          <w:sz w:val="20"/>
          <w:szCs w:val="21"/>
        </w:rPr>
        <w:t>is total</w:t>
      </w:r>
      <w:r w:rsidR="00FB7684" w:rsidRPr="000A4B16">
        <w:rPr>
          <w:rFonts w:cs="Arial"/>
          <w:sz w:val="20"/>
          <w:szCs w:val="21"/>
        </w:rPr>
        <w:t xml:space="preserve">. There have been </w:t>
      </w:r>
      <w:r w:rsidRPr="000A4B16">
        <w:rPr>
          <w:rFonts w:cs="Arial"/>
          <w:sz w:val="20"/>
          <w:szCs w:val="21"/>
        </w:rPr>
        <w:t>3</w:t>
      </w:r>
      <w:r w:rsidR="00FB7684" w:rsidRPr="000A4B16">
        <w:rPr>
          <w:rFonts w:cs="Arial"/>
          <w:sz w:val="20"/>
          <w:szCs w:val="21"/>
        </w:rPr>
        <w:t xml:space="preserve">3 assaults on Police officers YTD and 12 of these occurred in </w:t>
      </w:r>
      <w:r w:rsidR="00A1191D" w:rsidRPr="000A4B16">
        <w:rPr>
          <w:rFonts w:cs="Arial"/>
          <w:sz w:val="20"/>
          <w:szCs w:val="21"/>
        </w:rPr>
        <w:t>the last quarter</w:t>
      </w:r>
      <w:r w:rsidR="00FB7684" w:rsidRPr="000A4B16">
        <w:rPr>
          <w:rFonts w:cs="Arial"/>
          <w:sz w:val="20"/>
          <w:szCs w:val="21"/>
        </w:rPr>
        <w:t>.</w:t>
      </w:r>
      <w:r w:rsidRPr="000A4B16">
        <w:rPr>
          <w:rFonts w:cs="Arial"/>
          <w:sz w:val="20"/>
          <w:szCs w:val="21"/>
        </w:rPr>
        <w:t xml:space="preserve"> The current detection</w:t>
      </w:r>
      <w:r w:rsidR="00FB7684" w:rsidRPr="000A4B16">
        <w:rPr>
          <w:rFonts w:cs="Arial"/>
          <w:sz w:val="20"/>
          <w:szCs w:val="21"/>
        </w:rPr>
        <w:t xml:space="preserve"> rate for</w:t>
      </w:r>
      <w:r w:rsidRPr="000A4B16">
        <w:rPr>
          <w:rFonts w:cs="Arial"/>
          <w:sz w:val="20"/>
          <w:szCs w:val="21"/>
        </w:rPr>
        <w:t xml:space="preserve"> Violence Against the Person is 74%. </w:t>
      </w:r>
    </w:p>
    <w:p w:rsidR="007E4893" w:rsidRPr="000A4B16" w:rsidRDefault="00455662" w:rsidP="007E4893">
      <w:pPr>
        <w:jc w:val="both"/>
        <w:rPr>
          <w:rFonts w:cstheme="minorHAnsi"/>
          <w:sz w:val="20"/>
          <w:szCs w:val="21"/>
        </w:rPr>
      </w:pPr>
      <w:r w:rsidRPr="000A4B16">
        <w:rPr>
          <w:rFonts w:cs="Arial"/>
          <w:sz w:val="20"/>
          <w:szCs w:val="21"/>
        </w:rPr>
        <w:t>Other crime groups with significant reduction are</w:t>
      </w:r>
      <w:r w:rsidRPr="000A4B16">
        <w:rPr>
          <w:rFonts w:cs="Arial"/>
          <w:b/>
          <w:sz w:val="20"/>
          <w:szCs w:val="21"/>
        </w:rPr>
        <w:t xml:space="preserve"> </w:t>
      </w:r>
      <w:r w:rsidRPr="000A4B16">
        <w:rPr>
          <w:rFonts w:cstheme="minorHAnsi"/>
          <w:sz w:val="20"/>
          <w:szCs w:val="21"/>
        </w:rPr>
        <w:t>Motor Vehicle and Pedal Cycle crime</w:t>
      </w:r>
      <w:r w:rsidR="00C25A96" w:rsidRPr="000A4B16">
        <w:rPr>
          <w:rFonts w:cstheme="minorHAnsi"/>
          <w:sz w:val="20"/>
          <w:szCs w:val="21"/>
        </w:rPr>
        <w:t xml:space="preserve"> (68 YTD, </w:t>
      </w:r>
      <w:r w:rsidRPr="000A4B16">
        <w:rPr>
          <w:rFonts w:cstheme="minorHAnsi"/>
          <w:sz w:val="20"/>
          <w:szCs w:val="21"/>
        </w:rPr>
        <w:t>-47%, -41 crimes)</w:t>
      </w:r>
      <w:r w:rsidR="00CC35D8" w:rsidRPr="000A4B16">
        <w:rPr>
          <w:rFonts w:cstheme="minorHAnsi"/>
          <w:sz w:val="20"/>
          <w:szCs w:val="21"/>
        </w:rPr>
        <w:t xml:space="preserve"> and </w:t>
      </w:r>
      <w:r w:rsidRPr="000A4B16">
        <w:rPr>
          <w:rFonts w:cstheme="minorHAnsi"/>
          <w:sz w:val="20"/>
          <w:szCs w:val="21"/>
        </w:rPr>
        <w:t>Theft of Railway / Commercial Property (</w:t>
      </w:r>
      <w:r w:rsidR="00C25A96" w:rsidRPr="000A4B16">
        <w:rPr>
          <w:rFonts w:cstheme="minorHAnsi"/>
          <w:sz w:val="20"/>
          <w:szCs w:val="21"/>
        </w:rPr>
        <w:t xml:space="preserve">86 YTD, </w:t>
      </w:r>
      <w:r w:rsidRPr="000A4B16">
        <w:rPr>
          <w:rFonts w:cstheme="minorHAnsi"/>
          <w:sz w:val="20"/>
          <w:szCs w:val="21"/>
        </w:rPr>
        <w:t xml:space="preserve">-36%, -48 crimes).  </w:t>
      </w:r>
      <w:r w:rsidR="00C25A96" w:rsidRPr="000A4B16">
        <w:rPr>
          <w:rFonts w:cstheme="minorHAnsi"/>
          <w:sz w:val="20"/>
          <w:szCs w:val="21"/>
        </w:rPr>
        <w:t>H</w:t>
      </w:r>
      <w:r w:rsidRPr="000A4B16">
        <w:rPr>
          <w:rFonts w:cstheme="minorHAnsi"/>
          <w:sz w:val="20"/>
          <w:szCs w:val="21"/>
        </w:rPr>
        <w:t xml:space="preserve">ate crime (4 YTD) </w:t>
      </w:r>
      <w:r w:rsidR="00C25A96" w:rsidRPr="000A4B16">
        <w:rPr>
          <w:rFonts w:cstheme="minorHAnsi"/>
          <w:sz w:val="20"/>
          <w:szCs w:val="21"/>
        </w:rPr>
        <w:t xml:space="preserve">and Sexual crime (12 YTD) </w:t>
      </w:r>
      <w:r w:rsidRPr="000A4B16">
        <w:rPr>
          <w:rFonts w:cstheme="minorHAnsi"/>
          <w:sz w:val="20"/>
          <w:szCs w:val="21"/>
        </w:rPr>
        <w:t>a</w:t>
      </w:r>
      <w:r w:rsidR="00CC35D8" w:rsidRPr="000A4B16">
        <w:rPr>
          <w:rFonts w:cstheme="minorHAnsi"/>
          <w:sz w:val="20"/>
          <w:szCs w:val="21"/>
        </w:rPr>
        <w:t xml:space="preserve">lso have very low </w:t>
      </w:r>
      <w:r w:rsidR="00A1191D" w:rsidRPr="000A4B16">
        <w:rPr>
          <w:rFonts w:cstheme="minorHAnsi"/>
          <w:sz w:val="20"/>
          <w:szCs w:val="21"/>
        </w:rPr>
        <w:t xml:space="preserve">yearly </w:t>
      </w:r>
      <w:r w:rsidR="00CC35D8" w:rsidRPr="000A4B16">
        <w:rPr>
          <w:rFonts w:cstheme="minorHAnsi"/>
          <w:sz w:val="20"/>
          <w:szCs w:val="21"/>
        </w:rPr>
        <w:t>totals</w:t>
      </w:r>
      <w:r w:rsidR="009C4AF1" w:rsidRPr="000A4B16">
        <w:rPr>
          <w:rFonts w:cstheme="minorHAnsi"/>
          <w:sz w:val="20"/>
          <w:szCs w:val="21"/>
        </w:rPr>
        <w:t xml:space="preserve">. </w:t>
      </w:r>
    </w:p>
    <w:p w:rsidR="00C34CAF" w:rsidRPr="000A4B16" w:rsidRDefault="00C34CAF" w:rsidP="00C34CAF">
      <w:pPr>
        <w:jc w:val="both"/>
        <w:rPr>
          <w:rFonts w:cstheme="minorHAnsi"/>
          <w:sz w:val="20"/>
          <w:szCs w:val="21"/>
        </w:rPr>
      </w:pPr>
      <w:r w:rsidRPr="000A4B16">
        <w:rPr>
          <w:rFonts w:cs="Arial"/>
          <w:b/>
          <w:sz w:val="20"/>
          <w:szCs w:val="21"/>
        </w:rPr>
        <w:t>The largest increase in crime numbers has been seen in Graffiti.</w:t>
      </w:r>
      <w:r w:rsidRPr="000A4B16">
        <w:rPr>
          <w:rFonts w:cs="Arial"/>
          <w:sz w:val="20"/>
          <w:szCs w:val="21"/>
        </w:rPr>
        <w:t xml:space="preserve"> </w:t>
      </w:r>
      <w:r w:rsidRPr="000A4B16">
        <w:rPr>
          <w:rFonts w:cstheme="minorHAnsi"/>
          <w:sz w:val="20"/>
          <w:szCs w:val="21"/>
        </w:rPr>
        <w:t xml:space="preserve">Graffiti is a crime group which persisted throughout the first Lockdown in March 2020 when the network was at its quietest. </w:t>
      </w:r>
      <w:r w:rsidRPr="000A4B16">
        <w:rPr>
          <w:rFonts w:cs="Arial"/>
          <w:sz w:val="20"/>
          <w:szCs w:val="21"/>
        </w:rPr>
        <w:t xml:space="preserve">There have been 88 crimes recorded which is </w:t>
      </w:r>
      <w:r w:rsidRPr="000A4B16">
        <w:rPr>
          <w:rFonts w:cstheme="minorHAnsi"/>
          <w:sz w:val="20"/>
          <w:szCs w:val="21"/>
        </w:rPr>
        <w:t xml:space="preserve">66% higher than last year (+35 crimes). </w:t>
      </w:r>
      <w:r w:rsidR="00EC587A" w:rsidRPr="000A4B16">
        <w:rPr>
          <w:rFonts w:cstheme="minorHAnsi"/>
          <w:sz w:val="20"/>
          <w:szCs w:val="21"/>
        </w:rPr>
        <w:t xml:space="preserve">Detection rate for graffiti is 16%. </w:t>
      </w:r>
      <w:r w:rsidRPr="000A4B16">
        <w:rPr>
          <w:rFonts w:cs="Arial"/>
          <w:sz w:val="20"/>
          <w:szCs w:val="21"/>
        </w:rPr>
        <w:t>Divisional CID continue to lead on Graffiti and have created a problem-solving plan, working with the industry to target key problem areas and find implementable solutions.</w:t>
      </w:r>
      <w:r w:rsidRPr="000A4B16">
        <w:rPr>
          <w:rFonts w:cstheme="minorHAnsi"/>
          <w:sz w:val="20"/>
          <w:szCs w:val="21"/>
        </w:rPr>
        <w:t xml:space="preserve"> </w:t>
      </w:r>
    </w:p>
    <w:p w:rsidR="00D97326" w:rsidRPr="000A4B16" w:rsidRDefault="00D97326" w:rsidP="00663D69">
      <w:pPr>
        <w:jc w:val="both"/>
        <w:rPr>
          <w:rFonts w:cs="Arial"/>
          <w:sz w:val="20"/>
          <w:szCs w:val="21"/>
        </w:rPr>
      </w:pPr>
      <w:r w:rsidRPr="000A4B16">
        <w:rPr>
          <w:rFonts w:cstheme="minorHAnsi"/>
          <w:b/>
          <w:sz w:val="20"/>
          <w:szCs w:val="21"/>
        </w:rPr>
        <w:t>There h</w:t>
      </w:r>
      <w:r w:rsidR="00FA4FBE" w:rsidRPr="000A4B16">
        <w:rPr>
          <w:rFonts w:cstheme="minorHAnsi"/>
          <w:b/>
          <w:sz w:val="20"/>
          <w:szCs w:val="21"/>
        </w:rPr>
        <w:t>as been</w:t>
      </w:r>
      <w:r w:rsidRPr="000A4B16">
        <w:rPr>
          <w:rFonts w:cstheme="minorHAnsi"/>
          <w:b/>
          <w:sz w:val="20"/>
          <w:szCs w:val="21"/>
        </w:rPr>
        <w:t xml:space="preserve"> a total of 129 drug </w:t>
      </w:r>
      <w:r w:rsidR="00FA4FBE" w:rsidRPr="000A4B16">
        <w:rPr>
          <w:rFonts w:cstheme="minorHAnsi"/>
          <w:b/>
          <w:sz w:val="20"/>
          <w:szCs w:val="21"/>
        </w:rPr>
        <w:t>crimes</w:t>
      </w:r>
      <w:r w:rsidRPr="000A4B16">
        <w:rPr>
          <w:rFonts w:cstheme="minorHAnsi"/>
          <w:b/>
          <w:sz w:val="20"/>
          <w:szCs w:val="21"/>
        </w:rPr>
        <w:t xml:space="preserve"> recorded YTD (</w:t>
      </w:r>
      <w:r w:rsidR="00663D69" w:rsidRPr="000A4B16">
        <w:rPr>
          <w:rFonts w:cstheme="minorHAnsi"/>
          <w:b/>
          <w:sz w:val="20"/>
          <w:szCs w:val="21"/>
        </w:rPr>
        <w:t>+55%</w:t>
      </w:r>
      <w:r w:rsidRPr="000A4B16">
        <w:rPr>
          <w:rFonts w:cstheme="minorHAnsi"/>
          <w:b/>
          <w:sz w:val="20"/>
          <w:szCs w:val="21"/>
        </w:rPr>
        <w:t xml:space="preserve">, </w:t>
      </w:r>
      <w:r w:rsidR="00663D69" w:rsidRPr="000A4B16">
        <w:rPr>
          <w:rFonts w:cstheme="minorHAnsi"/>
          <w:b/>
          <w:sz w:val="20"/>
          <w:szCs w:val="21"/>
        </w:rPr>
        <w:t>+46 crimes</w:t>
      </w:r>
      <w:r w:rsidRPr="000A4B16">
        <w:rPr>
          <w:rFonts w:cstheme="minorHAnsi"/>
          <w:b/>
          <w:sz w:val="20"/>
          <w:szCs w:val="21"/>
        </w:rPr>
        <w:t xml:space="preserve"> from PY</w:t>
      </w:r>
      <w:r w:rsidR="00663D69" w:rsidRPr="000A4B16">
        <w:rPr>
          <w:rFonts w:cstheme="minorHAnsi"/>
          <w:b/>
          <w:sz w:val="20"/>
          <w:szCs w:val="21"/>
        </w:rPr>
        <w:t>)</w:t>
      </w:r>
      <w:r w:rsidRPr="000A4B16">
        <w:rPr>
          <w:rFonts w:cstheme="minorHAnsi"/>
          <w:b/>
          <w:sz w:val="20"/>
          <w:szCs w:val="21"/>
        </w:rPr>
        <w:t>.</w:t>
      </w:r>
      <w:r w:rsidR="00663D69" w:rsidRPr="000A4B16">
        <w:rPr>
          <w:rFonts w:cstheme="minorHAnsi"/>
          <w:sz w:val="20"/>
          <w:szCs w:val="21"/>
        </w:rPr>
        <w:t xml:space="preserve"> </w:t>
      </w:r>
      <w:r w:rsidR="00605429" w:rsidRPr="000A4B16">
        <w:rPr>
          <w:rFonts w:cstheme="minorHAnsi"/>
          <w:sz w:val="20"/>
          <w:szCs w:val="21"/>
        </w:rPr>
        <w:t xml:space="preserve">As in Q2, </w:t>
      </w:r>
      <w:r w:rsidR="00605429" w:rsidRPr="000A4B16">
        <w:rPr>
          <w:rFonts w:cs="Arial"/>
          <w:sz w:val="20"/>
          <w:szCs w:val="21"/>
        </w:rPr>
        <w:t xml:space="preserve">the high amount of crimes in this category is the </w:t>
      </w:r>
      <w:r w:rsidR="007E4893" w:rsidRPr="000A4B16">
        <w:rPr>
          <w:rFonts w:cs="Arial"/>
          <w:sz w:val="20"/>
          <w:szCs w:val="21"/>
        </w:rPr>
        <w:t xml:space="preserve">direct </w:t>
      </w:r>
      <w:r w:rsidR="00605429" w:rsidRPr="000A4B16">
        <w:rPr>
          <w:rFonts w:cs="Arial"/>
          <w:sz w:val="20"/>
          <w:szCs w:val="21"/>
        </w:rPr>
        <w:t>result of police-generated searches</w:t>
      </w:r>
      <w:r w:rsidRPr="000A4B16">
        <w:rPr>
          <w:rFonts w:cs="Arial"/>
          <w:sz w:val="20"/>
          <w:szCs w:val="21"/>
        </w:rPr>
        <w:t xml:space="preserve"> attributed to </w:t>
      </w:r>
      <w:r w:rsidR="005D6162" w:rsidRPr="000A4B16">
        <w:rPr>
          <w:rFonts w:cs="Arial"/>
          <w:sz w:val="20"/>
          <w:szCs w:val="21"/>
        </w:rPr>
        <w:t>an</w:t>
      </w:r>
      <w:r w:rsidRPr="000A4B16">
        <w:rPr>
          <w:rFonts w:cs="Arial"/>
          <w:sz w:val="20"/>
          <w:szCs w:val="21"/>
        </w:rPr>
        <w:t xml:space="preserve"> increase in County Lines days of action </w:t>
      </w:r>
      <w:r w:rsidR="005D6162" w:rsidRPr="000A4B16">
        <w:rPr>
          <w:rFonts w:cs="Arial"/>
          <w:sz w:val="20"/>
          <w:szCs w:val="21"/>
        </w:rPr>
        <w:t>a</w:t>
      </w:r>
      <w:r w:rsidRPr="000A4B16">
        <w:rPr>
          <w:rFonts w:cs="Arial"/>
          <w:sz w:val="20"/>
          <w:szCs w:val="21"/>
        </w:rPr>
        <w:t>cross the Division.</w:t>
      </w:r>
      <w:r w:rsidRPr="000A4B16">
        <w:rPr>
          <w:rFonts w:cstheme="minorHAnsi"/>
          <w:sz w:val="20"/>
          <w:szCs w:val="21"/>
        </w:rPr>
        <w:t xml:space="preserve"> </w:t>
      </w:r>
      <w:r w:rsidR="00605429" w:rsidRPr="000A4B16">
        <w:rPr>
          <w:rFonts w:cs="Arial"/>
          <w:sz w:val="20"/>
          <w:szCs w:val="21"/>
        </w:rPr>
        <w:t>This is particularly the case for locations in the East Sector,</w:t>
      </w:r>
      <w:r w:rsidRPr="000A4B16">
        <w:rPr>
          <w:rFonts w:cs="Arial"/>
          <w:sz w:val="20"/>
          <w:szCs w:val="21"/>
        </w:rPr>
        <w:t xml:space="preserve"> where most searches under the Misuse of Drugs Act took place. </w:t>
      </w:r>
      <w:r w:rsidR="00605429" w:rsidRPr="000A4B16">
        <w:rPr>
          <w:rFonts w:cs="Arial"/>
          <w:sz w:val="20"/>
          <w:szCs w:val="21"/>
        </w:rPr>
        <w:t xml:space="preserve"> </w:t>
      </w:r>
    </w:p>
    <w:p w:rsidR="00DD41C4" w:rsidRPr="000A4B16" w:rsidRDefault="00EC587A" w:rsidP="005F09E9">
      <w:pPr>
        <w:jc w:val="both"/>
        <w:rPr>
          <w:rFonts w:cstheme="minorHAnsi"/>
          <w:sz w:val="20"/>
          <w:szCs w:val="21"/>
        </w:rPr>
      </w:pPr>
      <w:r w:rsidRPr="000A4B16">
        <w:rPr>
          <w:rFonts w:cstheme="minorHAnsi"/>
          <w:b/>
          <w:sz w:val="20"/>
          <w:szCs w:val="21"/>
        </w:rPr>
        <w:t>Q</w:t>
      </w:r>
      <w:r w:rsidR="00AE7842" w:rsidRPr="000A4B16">
        <w:rPr>
          <w:rFonts w:cstheme="minorHAnsi"/>
          <w:b/>
          <w:sz w:val="20"/>
          <w:szCs w:val="21"/>
        </w:rPr>
        <w:t>uieter</w:t>
      </w:r>
      <w:r w:rsidRPr="000A4B16">
        <w:rPr>
          <w:rFonts w:cstheme="minorHAnsi"/>
          <w:b/>
          <w:sz w:val="20"/>
          <w:szCs w:val="21"/>
        </w:rPr>
        <w:t xml:space="preserve"> trains with less revenue</w:t>
      </w:r>
      <w:r w:rsidR="005120BC" w:rsidRPr="000A4B16">
        <w:rPr>
          <w:rFonts w:cstheme="minorHAnsi"/>
          <w:b/>
          <w:sz w:val="20"/>
          <w:szCs w:val="21"/>
        </w:rPr>
        <w:t xml:space="preserve"> collection</w:t>
      </w:r>
      <w:r w:rsidRPr="000A4B16">
        <w:rPr>
          <w:rFonts w:cstheme="minorHAnsi"/>
          <w:b/>
          <w:sz w:val="20"/>
          <w:szCs w:val="21"/>
        </w:rPr>
        <w:t xml:space="preserve"> </w:t>
      </w:r>
      <w:r w:rsidR="005120BC" w:rsidRPr="000A4B16">
        <w:rPr>
          <w:rFonts w:cstheme="minorHAnsi"/>
          <w:b/>
          <w:sz w:val="20"/>
          <w:szCs w:val="21"/>
        </w:rPr>
        <w:t xml:space="preserve">in place </w:t>
      </w:r>
      <w:r w:rsidR="00201E62" w:rsidRPr="000A4B16">
        <w:rPr>
          <w:rFonts w:cstheme="minorHAnsi"/>
          <w:b/>
          <w:sz w:val="20"/>
          <w:szCs w:val="21"/>
        </w:rPr>
        <w:t>have</w:t>
      </w:r>
      <w:r w:rsidRPr="000A4B16">
        <w:rPr>
          <w:rFonts w:cstheme="minorHAnsi"/>
          <w:b/>
          <w:sz w:val="20"/>
          <w:szCs w:val="21"/>
        </w:rPr>
        <w:t xml:space="preserve"> led to an</w:t>
      </w:r>
      <w:r w:rsidR="00AE7842" w:rsidRPr="000A4B16">
        <w:rPr>
          <w:rFonts w:cstheme="minorHAnsi"/>
          <w:b/>
          <w:sz w:val="20"/>
          <w:szCs w:val="21"/>
        </w:rPr>
        <w:t xml:space="preserve"> increase </w:t>
      </w:r>
      <w:r w:rsidRPr="000A4B16">
        <w:rPr>
          <w:rFonts w:cstheme="minorHAnsi"/>
          <w:b/>
          <w:sz w:val="20"/>
          <w:szCs w:val="21"/>
        </w:rPr>
        <w:t xml:space="preserve">in groups of youths using the network </w:t>
      </w:r>
      <w:r w:rsidR="005120BC" w:rsidRPr="000A4B16">
        <w:rPr>
          <w:rFonts w:cstheme="minorHAnsi"/>
          <w:b/>
          <w:sz w:val="20"/>
          <w:szCs w:val="21"/>
        </w:rPr>
        <w:t>and</w:t>
      </w:r>
      <w:r w:rsidRPr="000A4B16">
        <w:rPr>
          <w:rFonts w:cstheme="minorHAnsi"/>
          <w:b/>
          <w:sz w:val="20"/>
          <w:szCs w:val="21"/>
        </w:rPr>
        <w:t xml:space="preserve"> </w:t>
      </w:r>
      <w:r w:rsidR="005120BC" w:rsidRPr="000A4B16">
        <w:rPr>
          <w:rFonts w:cstheme="minorHAnsi"/>
          <w:b/>
          <w:sz w:val="20"/>
          <w:szCs w:val="21"/>
        </w:rPr>
        <w:t>engaging in</w:t>
      </w:r>
      <w:r w:rsidRPr="000A4B16">
        <w:rPr>
          <w:rFonts w:cstheme="minorHAnsi"/>
          <w:b/>
          <w:sz w:val="20"/>
          <w:szCs w:val="21"/>
        </w:rPr>
        <w:t xml:space="preserve"> anti-social behaviour</w:t>
      </w:r>
      <w:r w:rsidR="00563815" w:rsidRPr="000A4B16">
        <w:rPr>
          <w:rFonts w:cstheme="minorHAnsi"/>
          <w:b/>
          <w:sz w:val="20"/>
          <w:szCs w:val="21"/>
        </w:rPr>
        <w:t>.  T</w:t>
      </w:r>
      <w:r w:rsidR="005120BC" w:rsidRPr="000A4B16">
        <w:rPr>
          <w:rFonts w:cstheme="minorHAnsi"/>
          <w:b/>
          <w:sz w:val="20"/>
          <w:szCs w:val="21"/>
        </w:rPr>
        <w:t>here has been a persistent</w:t>
      </w:r>
      <w:r w:rsidRPr="000A4B16">
        <w:rPr>
          <w:rFonts w:cstheme="minorHAnsi"/>
          <w:b/>
          <w:sz w:val="20"/>
          <w:szCs w:val="21"/>
        </w:rPr>
        <w:t xml:space="preserve"> lack of compliance </w:t>
      </w:r>
      <w:r w:rsidR="005120BC" w:rsidRPr="000A4B16">
        <w:rPr>
          <w:rFonts w:cstheme="minorHAnsi"/>
          <w:b/>
          <w:sz w:val="20"/>
          <w:szCs w:val="21"/>
        </w:rPr>
        <w:t>regarding</w:t>
      </w:r>
      <w:r w:rsidR="005F0E2C" w:rsidRPr="000A4B16">
        <w:rPr>
          <w:rFonts w:cstheme="minorHAnsi"/>
          <w:b/>
          <w:sz w:val="20"/>
          <w:szCs w:val="21"/>
        </w:rPr>
        <w:t xml:space="preserve"> face coverings</w:t>
      </w:r>
      <w:r w:rsidRPr="000A4B16">
        <w:rPr>
          <w:rFonts w:cstheme="minorHAnsi"/>
          <w:b/>
          <w:sz w:val="20"/>
          <w:szCs w:val="21"/>
        </w:rPr>
        <w:t xml:space="preserve"> and </w:t>
      </w:r>
      <w:r w:rsidR="005F0E2C" w:rsidRPr="000A4B16">
        <w:rPr>
          <w:rFonts w:cstheme="minorHAnsi"/>
          <w:b/>
          <w:sz w:val="20"/>
          <w:szCs w:val="21"/>
        </w:rPr>
        <w:t>social distancing</w:t>
      </w:r>
      <w:r w:rsidRPr="000A4B16">
        <w:rPr>
          <w:rFonts w:cstheme="minorHAnsi"/>
          <w:b/>
          <w:sz w:val="20"/>
          <w:szCs w:val="21"/>
        </w:rPr>
        <w:t>.</w:t>
      </w:r>
      <w:r w:rsidR="000629FB" w:rsidRPr="000A4B16">
        <w:rPr>
          <w:rFonts w:cstheme="minorHAnsi"/>
          <w:sz w:val="20"/>
          <w:szCs w:val="21"/>
        </w:rPr>
        <w:t xml:space="preserve"> </w:t>
      </w:r>
      <w:r w:rsidR="00CC35D8" w:rsidRPr="000A4B16">
        <w:rPr>
          <w:rFonts w:cstheme="minorHAnsi"/>
          <w:sz w:val="20"/>
          <w:szCs w:val="21"/>
        </w:rPr>
        <w:t>In</w:t>
      </w:r>
      <w:r w:rsidR="00455662" w:rsidRPr="000A4B16">
        <w:rPr>
          <w:rFonts w:cstheme="minorHAnsi"/>
          <w:sz w:val="20"/>
          <w:szCs w:val="21"/>
        </w:rPr>
        <w:t xml:space="preserve"> Q3</w:t>
      </w:r>
      <w:r w:rsidR="00CC35D8" w:rsidRPr="000A4B16">
        <w:rPr>
          <w:rFonts w:cstheme="minorHAnsi"/>
          <w:sz w:val="20"/>
          <w:szCs w:val="21"/>
        </w:rPr>
        <w:t>, D Division</w:t>
      </w:r>
      <w:r w:rsidR="00455662" w:rsidRPr="000A4B16">
        <w:rPr>
          <w:rFonts w:cstheme="minorHAnsi"/>
          <w:sz w:val="20"/>
          <w:szCs w:val="21"/>
        </w:rPr>
        <w:t xml:space="preserve"> </w:t>
      </w:r>
      <w:r w:rsidR="005120BC" w:rsidRPr="000A4B16">
        <w:rPr>
          <w:rFonts w:cstheme="minorHAnsi"/>
          <w:sz w:val="20"/>
          <w:szCs w:val="21"/>
        </w:rPr>
        <w:t xml:space="preserve">experienced </w:t>
      </w:r>
      <w:r w:rsidR="00CC35D8" w:rsidRPr="000A4B16">
        <w:rPr>
          <w:rFonts w:cstheme="minorHAnsi"/>
          <w:sz w:val="20"/>
          <w:szCs w:val="21"/>
        </w:rPr>
        <w:t xml:space="preserve">a trend </w:t>
      </w:r>
      <w:r w:rsidRPr="000A4B16">
        <w:rPr>
          <w:rFonts w:cstheme="minorHAnsi"/>
          <w:sz w:val="20"/>
          <w:szCs w:val="21"/>
        </w:rPr>
        <w:t>of</w:t>
      </w:r>
      <w:r w:rsidR="00165D34" w:rsidRPr="000A4B16">
        <w:rPr>
          <w:rFonts w:cstheme="minorHAnsi"/>
          <w:sz w:val="20"/>
          <w:szCs w:val="21"/>
        </w:rPr>
        <w:t xml:space="preserve"> </w:t>
      </w:r>
      <w:r w:rsidR="000315B9" w:rsidRPr="000A4B16">
        <w:rPr>
          <w:rFonts w:cstheme="minorHAnsi"/>
          <w:sz w:val="20"/>
          <w:szCs w:val="21"/>
        </w:rPr>
        <w:t>nuisance behaviour</w:t>
      </w:r>
      <w:r w:rsidR="00455662" w:rsidRPr="000A4B16">
        <w:rPr>
          <w:rFonts w:cstheme="minorHAnsi"/>
          <w:sz w:val="20"/>
          <w:szCs w:val="21"/>
        </w:rPr>
        <w:t xml:space="preserve"> </w:t>
      </w:r>
      <w:r w:rsidR="0008704E" w:rsidRPr="000A4B16">
        <w:rPr>
          <w:rFonts w:cstheme="minorHAnsi"/>
          <w:sz w:val="20"/>
          <w:szCs w:val="21"/>
        </w:rPr>
        <w:t>escalating into</w:t>
      </w:r>
      <w:r w:rsidRPr="000A4B16">
        <w:rPr>
          <w:rFonts w:cstheme="minorHAnsi"/>
          <w:sz w:val="20"/>
          <w:szCs w:val="21"/>
        </w:rPr>
        <w:t xml:space="preserve"> more serious crime and</w:t>
      </w:r>
      <w:r w:rsidR="0008704E" w:rsidRPr="000A4B16">
        <w:rPr>
          <w:rFonts w:cstheme="minorHAnsi"/>
          <w:sz w:val="20"/>
          <w:szCs w:val="21"/>
        </w:rPr>
        <w:t xml:space="preserve"> violence</w:t>
      </w:r>
      <w:r w:rsidR="00455662" w:rsidRPr="000A4B16">
        <w:rPr>
          <w:rFonts w:cstheme="minorHAnsi"/>
          <w:sz w:val="20"/>
          <w:szCs w:val="21"/>
        </w:rPr>
        <w:t xml:space="preserve"> against staff </w:t>
      </w:r>
      <w:r w:rsidR="0008704E" w:rsidRPr="000A4B16">
        <w:rPr>
          <w:rFonts w:cstheme="minorHAnsi"/>
          <w:sz w:val="20"/>
          <w:szCs w:val="21"/>
        </w:rPr>
        <w:t>(d</w:t>
      </w:r>
      <w:r w:rsidR="00165D34" w:rsidRPr="000A4B16">
        <w:rPr>
          <w:rFonts w:cstheme="minorHAnsi"/>
          <w:sz w:val="20"/>
          <w:szCs w:val="21"/>
        </w:rPr>
        <w:t xml:space="preserve">etailed further </w:t>
      </w:r>
      <w:r w:rsidR="00563815" w:rsidRPr="000A4B16">
        <w:rPr>
          <w:rFonts w:cstheme="minorHAnsi"/>
          <w:sz w:val="20"/>
          <w:szCs w:val="21"/>
        </w:rPr>
        <w:t>in</w:t>
      </w:r>
      <w:r w:rsidR="0008704E" w:rsidRPr="000A4B16">
        <w:rPr>
          <w:rFonts w:cstheme="minorHAnsi"/>
          <w:sz w:val="20"/>
          <w:szCs w:val="21"/>
        </w:rPr>
        <w:t xml:space="preserve"> </w:t>
      </w:r>
      <w:r w:rsidR="00563815" w:rsidRPr="000A4B16">
        <w:rPr>
          <w:rFonts w:cstheme="minorHAnsi"/>
          <w:sz w:val="20"/>
          <w:szCs w:val="21"/>
        </w:rPr>
        <w:t>‘</w:t>
      </w:r>
      <w:r w:rsidR="0008704E" w:rsidRPr="000A4B16">
        <w:rPr>
          <w:rFonts w:cstheme="minorHAnsi"/>
          <w:sz w:val="20"/>
          <w:szCs w:val="21"/>
        </w:rPr>
        <w:t>Staff Violence</w:t>
      </w:r>
      <w:r w:rsidR="00563815" w:rsidRPr="000A4B16">
        <w:rPr>
          <w:rFonts w:cstheme="minorHAnsi"/>
          <w:sz w:val="20"/>
          <w:szCs w:val="21"/>
        </w:rPr>
        <w:t>’</w:t>
      </w:r>
      <w:r w:rsidR="0008704E" w:rsidRPr="000A4B16">
        <w:rPr>
          <w:rFonts w:cstheme="minorHAnsi"/>
          <w:sz w:val="20"/>
          <w:szCs w:val="21"/>
        </w:rPr>
        <w:t xml:space="preserve"> section)</w:t>
      </w:r>
      <w:r w:rsidR="00AE7842" w:rsidRPr="000A4B16">
        <w:rPr>
          <w:rFonts w:cstheme="minorHAnsi"/>
          <w:sz w:val="20"/>
          <w:szCs w:val="21"/>
        </w:rPr>
        <w:t>.</w:t>
      </w:r>
      <w:r w:rsidR="005F0E2C" w:rsidRPr="000A4B16">
        <w:rPr>
          <w:rFonts w:cstheme="minorHAnsi"/>
          <w:sz w:val="20"/>
          <w:szCs w:val="21"/>
        </w:rPr>
        <w:t xml:space="preserve"> Criminal Damage is down 19%</w:t>
      </w:r>
      <w:r w:rsidRPr="000A4B16">
        <w:rPr>
          <w:rFonts w:cstheme="minorHAnsi"/>
          <w:sz w:val="20"/>
          <w:szCs w:val="21"/>
        </w:rPr>
        <w:t xml:space="preserve"> (</w:t>
      </w:r>
      <w:r w:rsidR="005F0E2C" w:rsidRPr="000A4B16">
        <w:rPr>
          <w:rFonts w:cstheme="minorHAnsi"/>
          <w:sz w:val="20"/>
          <w:szCs w:val="21"/>
        </w:rPr>
        <w:t>33 crimes),</w:t>
      </w:r>
      <w:r w:rsidRPr="000A4B16">
        <w:rPr>
          <w:rFonts w:cstheme="minorHAnsi"/>
          <w:sz w:val="20"/>
          <w:szCs w:val="21"/>
        </w:rPr>
        <w:t xml:space="preserve"> however</w:t>
      </w:r>
      <w:r w:rsidR="005F0E2C" w:rsidRPr="000A4B16">
        <w:rPr>
          <w:rFonts w:cstheme="minorHAnsi"/>
          <w:sz w:val="20"/>
          <w:szCs w:val="21"/>
        </w:rPr>
        <w:t xml:space="preserve"> is the highest recording group and relatively high in relation to footfall</w:t>
      </w:r>
      <w:r w:rsidRPr="000A4B16">
        <w:rPr>
          <w:rFonts w:cstheme="minorHAnsi"/>
          <w:sz w:val="20"/>
          <w:szCs w:val="21"/>
        </w:rPr>
        <w:t xml:space="preserve"> and this can be attributed to ongoing issues with young offenders.</w:t>
      </w:r>
      <w:r w:rsidR="00563815" w:rsidRPr="000A4B16">
        <w:rPr>
          <w:rFonts w:cstheme="minorHAnsi"/>
          <w:sz w:val="20"/>
          <w:szCs w:val="21"/>
        </w:rPr>
        <w:t xml:space="preserve"> </w:t>
      </w:r>
      <w:r w:rsidR="00DD41C4" w:rsidRPr="000A4B16">
        <w:rPr>
          <w:rFonts w:cstheme="minorHAnsi"/>
          <w:sz w:val="20"/>
          <w:szCs w:val="21"/>
        </w:rPr>
        <w:t>Throughout the reporting period, a significant amount of joint working with Police Scotland has taken place to reduce C</w:t>
      </w:r>
      <w:r w:rsidR="00165D34" w:rsidRPr="000A4B16">
        <w:rPr>
          <w:rFonts w:cstheme="minorHAnsi"/>
          <w:sz w:val="20"/>
          <w:szCs w:val="21"/>
        </w:rPr>
        <w:t>OVID-</w:t>
      </w:r>
      <w:r w:rsidR="00DD41C4" w:rsidRPr="000A4B16">
        <w:rPr>
          <w:rFonts w:cstheme="minorHAnsi"/>
          <w:sz w:val="20"/>
          <w:szCs w:val="21"/>
        </w:rPr>
        <w:t xml:space="preserve">related </w:t>
      </w:r>
      <w:r w:rsidR="00165D34" w:rsidRPr="000A4B16">
        <w:rPr>
          <w:rFonts w:cstheme="minorHAnsi"/>
          <w:sz w:val="20"/>
          <w:szCs w:val="21"/>
        </w:rPr>
        <w:t>a</w:t>
      </w:r>
      <w:r w:rsidR="00DD41C4" w:rsidRPr="000A4B16">
        <w:rPr>
          <w:rFonts w:cstheme="minorHAnsi"/>
          <w:sz w:val="20"/>
          <w:szCs w:val="21"/>
        </w:rPr>
        <w:t>nti-</w:t>
      </w:r>
      <w:r w:rsidR="00165D34" w:rsidRPr="000A4B16">
        <w:rPr>
          <w:rFonts w:cstheme="minorHAnsi"/>
          <w:sz w:val="20"/>
          <w:szCs w:val="21"/>
        </w:rPr>
        <w:t>s</w:t>
      </w:r>
      <w:r w:rsidR="00DD41C4" w:rsidRPr="000A4B16">
        <w:rPr>
          <w:rFonts w:cstheme="minorHAnsi"/>
          <w:sz w:val="20"/>
          <w:szCs w:val="21"/>
        </w:rPr>
        <w:t xml:space="preserve">ocial </w:t>
      </w:r>
      <w:r w:rsidR="00165D34" w:rsidRPr="000A4B16">
        <w:rPr>
          <w:rFonts w:cstheme="minorHAnsi"/>
          <w:sz w:val="20"/>
          <w:szCs w:val="21"/>
        </w:rPr>
        <w:t>b</w:t>
      </w:r>
      <w:r w:rsidR="00DD41C4" w:rsidRPr="000A4B16">
        <w:rPr>
          <w:rFonts w:cstheme="minorHAnsi"/>
          <w:sz w:val="20"/>
          <w:szCs w:val="21"/>
        </w:rPr>
        <w:t xml:space="preserve">ehaviour across the Glasgow area. Joint patrols between BTP Police Scotland in the area has had an extremely positive impact with a vast reduction in groups </w:t>
      </w:r>
      <w:r w:rsidR="00CC35D8" w:rsidRPr="000A4B16">
        <w:rPr>
          <w:rFonts w:cstheme="minorHAnsi"/>
          <w:sz w:val="20"/>
          <w:szCs w:val="21"/>
        </w:rPr>
        <w:t>in</w:t>
      </w:r>
      <w:r w:rsidR="00DD41C4" w:rsidRPr="000A4B16">
        <w:rPr>
          <w:rFonts w:cstheme="minorHAnsi"/>
          <w:sz w:val="20"/>
          <w:szCs w:val="21"/>
        </w:rPr>
        <w:t xml:space="preserve"> the area. </w:t>
      </w:r>
    </w:p>
    <w:p w:rsidR="003973F2" w:rsidRDefault="003973F2" w:rsidP="00EC587A">
      <w:pPr>
        <w:rPr>
          <w:rFonts w:cstheme="minorHAnsi"/>
          <w:b/>
          <w:sz w:val="21"/>
          <w:szCs w:val="21"/>
          <w:u w:val="single"/>
        </w:rPr>
      </w:pPr>
    </w:p>
    <w:p w:rsidR="000A4B16" w:rsidRDefault="00796C52" w:rsidP="00EC587A">
      <w:pPr>
        <w:rPr>
          <w:rFonts w:cstheme="minorHAnsi"/>
          <w:b/>
          <w:sz w:val="21"/>
          <w:szCs w:val="21"/>
          <w:u w:val="single"/>
        </w:rPr>
      </w:pPr>
      <w:r>
        <w:rPr>
          <w:rFonts w:cstheme="minorHAnsi"/>
          <w:b/>
          <w:sz w:val="21"/>
          <w:szCs w:val="21"/>
          <w:u w:val="single"/>
        </w:rPr>
        <w:t xml:space="preserve">Serious </w:t>
      </w:r>
      <w:r w:rsidR="00BD035E" w:rsidRPr="000B7575">
        <w:rPr>
          <w:rFonts w:cstheme="minorHAnsi"/>
          <w:b/>
          <w:sz w:val="21"/>
          <w:szCs w:val="21"/>
          <w:u w:val="single"/>
        </w:rPr>
        <w:t>Violen</w:t>
      </w:r>
      <w:r>
        <w:rPr>
          <w:rFonts w:cstheme="minorHAnsi"/>
          <w:b/>
          <w:sz w:val="21"/>
          <w:szCs w:val="21"/>
          <w:u w:val="single"/>
        </w:rPr>
        <w:t>ce</w:t>
      </w:r>
    </w:p>
    <w:p w:rsidR="00BF6E04" w:rsidRPr="000A4B16" w:rsidRDefault="00E25096" w:rsidP="00EC587A">
      <w:pPr>
        <w:rPr>
          <w:rFonts w:cstheme="minorHAnsi"/>
          <w:b/>
          <w:sz w:val="21"/>
          <w:szCs w:val="21"/>
          <w:u w:val="single"/>
        </w:rPr>
      </w:pPr>
      <w:r w:rsidRPr="009A1128">
        <w:rPr>
          <w:rFonts w:cstheme="minorHAnsi"/>
          <w:b/>
          <w:sz w:val="21"/>
          <w:szCs w:val="21"/>
        </w:rPr>
        <w:t>Serious violence</w:t>
      </w:r>
      <w:r w:rsidR="00841C87" w:rsidRPr="009A1128">
        <w:rPr>
          <w:rFonts w:cstheme="minorHAnsi"/>
          <w:b/>
          <w:sz w:val="21"/>
          <w:szCs w:val="21"/>
        </w:rPr>
        <w:t xml:space="preserve"> </w:t>
      </w:r>
      <w:r w:rsidR="000629FB">
        <w:rPr>
          <w:rFonts w:cstheme="minorHAnsi"/>
          <w:b/>
          <w:sz w:val="21"/>
          <w:szCs w:val="21"/>
        </w:rPr>
        <w:t xml:space="preserve">causing </w:t>
      </w:r>
      <w:r w:rsidR="00044231" w:rsidRPr="009A1128">
        <w:rPr>
          <w:rFonts w:cstheme="minorHAnsi"/>
          <w:b/>
          <w:sz w:val="21"/>
          <w:szCs w:val="21"/>
        </w:rPr>
        <w:t>injury remains</w:t>
      </w:r>
      <w:r w:rsidR="000F6F84" w:rsidRPr="009A1128">
        <w:rPr>
          <w:rFonts w:cstheme="minorHAnsi"/>
          <w:b/>
          <w:sz w:val="21"/>
          <w:szCs w:val="21"/>
        </w:rPr>
        <w:t xml:space="preserve"> </w:t>
      </w:r>
      <w:r w:rsidR="000C21CE" w:rsidRPr="009A1128">
        <w:rPr>
          <w:rFonts w:cstheme="minorHAnsi"/>
          <w:b/>
          <w:sz w:val="21"/>
          <w:szCs w:val="21"/>
        </w:rPr>
        <w:t xml:space="preserve">very </w:t>
      </w:r>
      <w:r w:rsidR="000F6F84" w:rsidRPr="009A1128">
        <w:rPr>
          <w:rFonts w:cstheme="minorHAnsi"/>
          <w:b/>
          <w:sz w:val="21"/>
          <w:szCs w:val="21"/>
        </w:rPr>
        <w:t>low on</w:t>
      </w:r>
      <w:r w:rsidR="007C7908" w:rsidRPr="009A1128">
        <w:rPr>
          <w:rFonts w:cstheme="minorHAnsi"/>
          <w:b/>
          <w:sz w:val="21"/>
          <w:szCs w:val="21"/>
        </w:rPr>
        <w:t xml:space="preserve"> the network </w:t>
      </w:r>
      <w:r w:rsidR="009866C2" w:rsidRPr="009A1128">
        <w:rPr>
          <w:rFonts w:cstheme="minorHAnsi"/>
          <w:b/>
          <w:sz w:val="21"/>
          <w:szCs w:val="21"/>
        </w:rPr>
        <w:t>in Scotland</w:t>
      </w:r>
      <w:r w:rsidR="005B684E" w:rsidRPr="009A1128">
        <w:rPr>
          <w:rFonts w:cstheme="minorHAnsi"/>
          <w:b/>
          <w:sz w:val="21"/>
          <w:szCs w:val="21"/>
        </w:rPr>
        <w:t>.</w:t>
      </w:r>
      <w:r w:rsidR="005B684E">
        <w:rPr>
          <w:rFonts w:cstheme="minorHAnsi"/>
          <w:sz w:val="21"/>
          <w:szCs w:val="21"/>
        </w:rPr>
        <w:t xml:space="preserve"> There has been</w:t>
      </w:r>
      <w:r w:rsidR="007C7908">
        <w:rPr>
          <w:rFonts w:cstheme="minorHAnsi"/>
          <w:sz w:val="21"/>
          <w:szCs w:val="21"/>
        </w:rPr>
        <w:t xml:space="preserve"> a total of</w:t>
      </w:r>
      <w:r w:rsidR="000F6F84">
        <w:rPr>
          <w:rFonts w:cstheme="minorHAnsi"/>
          <w:sz w:val="21"/>
          <w:szCs w:val="21"/>
        </w:rPr>
        <w:t xml:space="preserve"> </w:t>
      </w:r>
      <w:r w:rsidR="00437FED">
        <w:rPr>
          <w:rFonts w:cstheme="minorHAnsi"/>
          <w:sz w:val="21"/>
          <w:szCs w:val="21"/>
        </w:rPr>
        <w:t>9</w:t>
      </w:r>
      <w:r w:rsidR="00841C87">
        <w:rPr>
          <w:rFonts w:cstheme="minorHAnsi"/>
          <w:sz w:val="21"/>
          <w:szCs w:val="21"/>
        </w:rPr>
        <w:t xml:space="preserve"> crimes</w:t>
      </w:r>
      <w:r w:rsidR="00437FED">
        <w:rPr>
          <w:rFonts w:cstheme="minorHAnsi"/>
          <w:sz w:val="21"/>
          <w:szCs w:val="21"/>
        </w:rPr>
        <w:t xml:space="preserve"> </w:t>
      </w:r>
      <w:r w:rsidR="000F6F84">
        <w:rPr>
          <w:rFonts w:cstheme="minorHAnsi"/>
          <w:sz w:val="21"/>
          <w:szCs w:val="21"/>
        </w:rPr>
        <w:t>YTD</w:t>
      </w:r>
      <w:r w:rsidR="00AA2DF0">
        <w:rPr>
          <w:rFonts w:cstheme="minorHAnsi"/>
          <w:sz w:val="21"/>
          <w:szCs w:val="21"/>
        </w:rPr>
        <w:t xml:space="preserve"> </w:t>
      </w:r>
      <w:r w:rsidR="00841C87">
        <w:rPr>
          <w:rFonts w:cstheme="minorHAnsi"/>
          <w:sz w:val="21"/>
          <w:szCs w:val="21"/>
        </w:rPr>
        <w:t>(25% less than PY (</w:t>
      </w:r>
      <w:r w:rsidR="00AA2DF0">
        <w:rPr>
          <w:rFonts w:cstheme="minorHAnsi"/>
          <w:sz w:val="21"/>
          <w:szCs w:val="21"/>
        </w:rPr>
        <w:t>12</w:t>
      </w:r>
      <w:r w:rsidR="00841C87">
        <w:rPr>
          <w:rFonts w:cstheme="minorHAnsi"/>
          <w:sz w:val="21"/>
          <w:szCs w:val="21"/>
        </w:rPr>
        <w:t>))</w:t>
      </w:r>
      <w:r w:rsidR="005B684E">
        <w:rPr>
          <w:rFonts w:cstheme="minorHAnsi"/>
          <w:sz w:val="21"/>
          <w:szCs w:val="21"/>
        </w:rPr>
        <w:t xml:space="preserve"> and these </w:t>
      </w:r>
      <w:r w:rsidR="00605D97">
        <w:rPr>
          <w:rFonts w:cstheme="minorHAnsi"/>
          <w:sz w:val="21"/>
          <w:szCs w:val="21"/>
        </w:rPr>
        <w:t>relate to 8 incidents in total</w:t>
      </w:r>
      <w:r w:rsidR="000F6F84">
        <w:rPr>
          <w:rFonts w:cstheme="minorHAnsi"/>
          <w:sz w:val="21"/>
          <w:szCs w:val="21"/>
        </w:rPr>
        <w:t>.</w:t>
      </w:r>
      <w:r w:rsidR="00605D97">
        <w:rPr>
          <w:rFonts w:cstheme="minorHAnsi"/>
          <w:sz w:val="21"/>
          <w:szCs w:val="21"/>
        </w:rPr>
        <w:t xml:space="preserve"> All have been passenger on passenger violence</w:t>
      </w:r>
      <w:r w:rsidR="000629FB">
        <w:rPr>
          <w:rFonts w:cstheme="minorHAnsi"/>
          <w:sz w:val="21"/>
          <w:szCs w:val="21"/>
        </w:rPr>
        <w:t xml:space="preserve"> and the </w:t>
      </w:r>
      <w:r w:rsidR="009A1128">
        <w:rPr>
          <w:rFonts w:cstheme="minorHAnsi"/>
          <w:sz w:val="21"/>
          <w:szCs w:val="21"/>
        </w:rPr>
        <w:t>detection rate for</w:t>
      </w:r>
      <w:r w:rsidR="000629FB">
        <w:rPr>
          <w:rFonts w:cstheme="minorHAnsi"/>
          <w:sz w:val="21"/>
          <w:szCs w:val="21"/>
        </w:rPr>
        <w:t xml:space="preserve"> this type of crime</w:t>
      </w:r>
      <w:r w:rsidR="009A1128">
        <w:rPr>
          <w:rFonts w:cstheme="minorHAnsi"/>
          <w:sz w:val="21"/>
          <w:szCs w:val="21"/>
        </w:rPr>
        <w:t xml:space="preserve"> is currently 56%</w:t>
      </w:r>
      <w:r w:rsidR="00605D97">
        <w:rPr>
          <w:rFonts w:cstheme="minorHAnsi"/>
          <w:sz w:val="21"/>
          <w:szCs w:val="21"/>
        </w:rPr>
        <w:t>.</w:t>
      </w:r>
      <w:r w:rsidR="00723398" w:rsidRPr="009A1128">
        <w:rPr>
          <w:rFonts w:cstheme="minorHAnsi"/>
          <w:b/>
          <w:noProof/>
          <w:color w:val="1F3864" w:themeColor="accent1" w:themeShade="80"/>
          <w:sz w:val="21"/>
          <w:szCs w:val="21"/>
        </w:rPr>
        <w:drawing>
          <wp:anchor distT="0" distB="0" distL="114300" distR="114300" simplePos="0" relativeHeight="251662336" behindDoc="1" locked="0" layoutInCell="1" allowOverlap="1" wp14:anchorId="5B282F03">
            <wp:simplePos x="0" y="0"/>
            <wp:positionH relativeFrom="column">
              <wp:posOffset>3389700</wp:posOffset>
            </wp:positionH>
            <wp:positionV relativeFrom="paragraph">
              <wp:posOffset>470966</wp:posOffset>
            </wp:positionV>
            <wp:extent cx="2592070" cy="2009775"/>
            <wp:effectExtent l="0" t="0" r="0" b="0"/>
            <wp:wrapTight wrapText="bothSides">
              <wp:wrapPolygon edited="0">
                <wp:start x="0" y="0"/>
                <wp:lineTo x="0" y="21293"/>
                <wp:lineTo x="21431" y="21293"/>
                <wp:lineTo x="21431" y="0"/>
                <wp:lineTo x="0" y="0"/>
              </wp:wrapPolygon>
            </wp:wrapTight>
            <wp:docPr id="5" name="Chart 5">
              <a:extLst xmlns:a="http://schemas.openxmlformats.org/drawingml/2006/main">
                <a:ext uri="{FF2B5EF4-FFF2-40B4-BE49-F238E27FC236}">
                  <a16:creationId xmlns:a16="http://schemas.microsoft.com/office/drawing/2014/main" id="{F8F48C68-4F95-4017-AEAC-3C79EE38D4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BF6E04">
        <w:rPr>
          <w:rFonts w:cstheme="minorHAnsi"/>
          <w:sz w:val="21"/>
          <w:szCs w:val="21"/>
        </w:rPr>
        <w:t xml:space="preserve"> </w:t>
      </w:r>
    </w:p>
    <w:p w:rsidR="009866C2" w:rsidRDefault="009A1128" w:rsidP="002E6891">
      <w:pPr>
        <w:jc w:val="both"/>
        <w:rPr>
          <w:rFonts w:cstheme="minorHAnsi"/>
          <w:sz w:val="21"/>
          <w:szCs w:val="21"/>
        </w:rPr>
      </w:pPr>
      <w:r>
        <w:rPr>
          <w:rFonts w:cstheme="minorHAnsi"/>
          <w:sz w:val="21"/>
          <w:szCs w:val="21"/>
        </w:rPr>
        <w:t xml:space="preserve">Robbery also remains </w:t>
      </w:r>
      <w:r w:rsidR="005F0E2C">
        <w:rPr>
          <w:rFonts w:cstheme="minorHAnsi"/>
          <w:sz w:val="21"/>
          <w:szCs w:val="21"/>
        </w:rPr>
        <w:t xml:space="preserve">at a </w:t>
      </w:r>
      <w:r>
        <w:rPr>
          <w:rFonts w:cstheme="minorHAnsi"/>
          <w:sz w:val="21"/>
          <w:szCs w:val="21"/>
        </w:rPr>
        <w:t>low</w:t>
      </w:r>
      <w:r w:rsidR="005F0E2C">
        <w:rPr>
          <w:rFonts w:cstheme="minorHAnsi"/>
          <w:sz w:val="21"/>
          <w:szCs w:val="21"/>
        </w:rPr>
        <w:t xml:space="preserve"> level,</w:t>
      </w:r>
      <w:r>
        <w:rPr>
          <w:rFonts w:cstheme="minorHAnsi"/>
          <w:sz w:val="21"/>
          <w:szCs w:val="21"/>
        </w:rPr>
        <w:t xml:space="preserve"> with 4 crimes recorded</w:t>
      </w:r>
      <w:r w:rsidR="000629FB">
        <w:rPr>
          <w:rFonts w:cstheme="minorHAnsi"/>
          <w:sz w:val="21"/>
          <w:szCs w:val="21"/>
        </w:rPr>
        <w:t xml:space="preserve"> this year</w:t>
      </w:r>
      <w:r>
        <w:rPr>
          <w:rFonts w:cstheme="minorHAnsi"/>
          <w:sz w:val="21"/>
          <w:szCs w:val="21"/>
        </w:rPr>
        <w:t xml:space="preserve"> (50% less than last year (8)). Detection rate for robbery is </w:t>
      </w:r>
      <w:r w:rsidR="00841C87">
        <w:rPr>
          <w:rFonts w:cstheme="minorHAnsi"/>
          <w:sz w:val="21"/>
          <w:szCs w:val="21"/>
        </w:rPr>
        <w:t>125%.</w:t>
      </w:r>
    </w:p>
    <w:p w:rsidR="00C11791" w:rsidRDefault="000629FB" w:rsidP="002E6891">
      <w:pPr>
        <w:jc w:val="both"/>
        <w:rPr>
          <w:rFonts w:cstheme="minorHAnsi"/>
          <w:sz w:val="21"/>
          <w:szCs w:val="21"/>
        </w:rPr>
      </w:pPr>
      <w:r>
        <w:rPr>
          <w:rFonts w:cstheme="minorHAnsi"/>
          <w:b/>
          <w:sz w:val="21"/>
          <w:szCs w:val="21"/>
        </w:rPr>
        <w:t>Conversely, w</w:t>
      </w:r>
      <w:r w:rsidR="007C7908" w:rsidRPr="009A1128">
        <w:rPr>
          <w:rFonts w:cstheme="minorHAnsi"/>
          <w:b/>
          <w:sz w:val="21"/>
          <w:szCs w:val="21"/>
        </w:rPr>
        <w:t xml:space="preserve">eapon crime is up by 17% </w:t>
      </w:r>
      <w:r w:rsidR="009866C2" w:rsidRPr="009A1128">
        <w:rPr>
          <w:rFonts w:cstheme="minorHAnsi"/>
          <w:b/>
          <w:sz w:val="21"/>
          <w:szCs w:val="21"/>
        </w:rPr>
        <w:t xml:space="preserve">(+8) </w:t>
      </w:r>
      <w:r w:rsidR="007C7908" w:rsidRPr="009A1128">
        <w:rPr>
          <w:rFonts w:cstheme="minorHAnsi"/>
          <w:b/>
          <w:sz w:val="21"/>
          <w:szCs w:val="21"/>
        </w:rPr>
        <w:t xml:space="preserve">with </w:t>
      </w:r>
      <w:r>
        <w:rPr>
          <w:rFonts w:cstheme="minorHAnsi"/>
          <w:b/>
          <w:sz w:val="21"/>
          <w:szCs w:val="21"/>
        </w:rPr>
        <w:t xml:space="preserve">a total of </w:t>
      </w:r>
      <w:r w:rsidR="007C7908" w:rsidRPr="009A1128">
        <w:rPr>
          <w:rFonts w:cstheme="minorHAnsi"/>
          <w:b/>
          <w:sz w:val="21"/>
          <w:szCs w:val="21"/>
        </w:rPr>
        <w:t>54 crimes YTD</w:t>
      </w:r>
      <w:r w:rsidR="007C7908">
        <w:rPr>
          <w:rFonts w:cstheme="minorHAnsi"/>
          <w:sz w:val="21"/>
          <w:szCs w:val="21"/>
        </w:rPr>
        <w:t xml:space="preserve"> </w:t>
      </w:r>
      <w:r w:rsidR="009A1128">
        <w:rPr>
          <w:rFonts w:cstheme="minorHAnsi"/>
          <w:sz w:val="21"/>
          <w:szCs w:val="21"/>
        </w:rPr>
        <w:t>(</w:t>
      </w:r>
      <w:r w:rsidR="007C7908">
        <w:rPr>
          <w:rFonts w:cstheme="minorHAnsi"/>
          <w:sz w:val="21"/>
          <w:szCs w:val="21"/>
        </w:rPr>
        <w:t>46</w:t>
      </w:r>
      <w:r w:rsidR="00841C87">
        <w:rPr>
          <w:rFonts w:cstheme="minorHAnsi"/>
          <w:sz w:val="21"/>
          <w:szCs w:val="21"/>
        </w:rPr>
        <w:t xml:space="preserve"> PY</w:t>
      </w:r>
      <w:r w:rsidR="009A1128">
        <w:rPr>
          <w:rFonts w:cstheme="minorHAnsi"/>
          <w:sz w:val="21"/>
          <w:szCs w:val="21"/>
        </w:rPr>
        <w:t>)</w:t>
      </w:r>
      <w:r w:rsidR="004F452B">
        <w:rPr>
          <w:rFonts w:cstheme="minorHAnsi"/>
          <w:sz w:val="21"/>
          <w:szCs w:val="21"/>
        </w:rPr>
        <w:t xml:space="preserve"> and in October and December there were also higher numbers of weapon </w:t>
      </w:r>
      <w:r>
        <w:rPr>
          <w:rFonts w:cstheme="minorHAnsi"/>
          <w:sz w:val="21"/>
          <w:szCs w:val="21"/>
        </w:rPr>
        <w:t>offences</w:t>
      </w:r>
      <w:r w:rsidR="004F452B">
        <w:rPr>
          <w:rFonts w:cstheme="minorHAnsi"/>
          <w:sz w:val="21"/>
          <w:szCs w:val="21"/>
        </w:rPr>
        <w:t xml:space="preserve"> than in th</w:t>
      </w:r>
      <w:r>
        <w:rPr>
          <w:rFonts w:cstheme="minorHAnsi"/>
          <w:sz w:val="21"/>
          <w:szCs w:val="21"/>
        </w:rPr>
        <w:t>e corresponding</w:t>
      </w:r>
      <w:r w:rsidR="004F452B">
        <w:rPr>
          <w:rFonts w:cstheme="minorHAnsi"/>
          <w:sz w:val="21"/>
          <w:szCs w:val="21"/>
        </w:rPr>
        <w:t xml:space="preserve"> months </w:t>
      </w:r>
      <w:r>
        <w:rPr>
          <w:rFonts w:cstheme="minorHAnsi"/>
          <w:sz w:val="21"/>
          <w:szCs w:val="21"/>
        </w:rPr>
        <w:t>of</w:t>
      </w:r>
      <w:r w:rsidR="004F452B">
        <w:rPr>
          <w:rFonts w:cstheme="minorHAnsi"/>
          <w:sz w:val="21"/>
          <w:szCs w:val="21"/>
        </w:rPr>
        <w:t xml:space="preserve"> 2019.</w:t>
      </w:r>
    </w:p>
    <w:p w:rsidR="000F6F84" w:rsidRPr="000A4B16" w:rsidRDefault="000F6F84" w:rsidP="002E6891">
      <w:pPr>
        <w:jc w:val="both"/>
        <w:rPr>
          <w:rFonts w:cstheme="minorHAnsi"/>
          <w:sz w:val="20"/>
          <w:szCs w:val="21"/>
        </w:rPr>
      </w:pPr>
      <w:r w:rsidRPr="000A4B16">
        <w:rPr>
          <w:rFonts w:cstheme="minorHAnsi"/>
          <w:sz w:val="20"/>
          <w:szCs w:val="21"/>
        </w:rPr>
        <w:t xml:space="preserve">As </w:t>
      </w:r>
      <w:r w:rsidR="00964500" w:rsidRPr="000A4B16">
        <w:rPr>
          <w:rFonts w:cstheme="minorHAnsi"/>
          <w:sz w:val="20"/>
          <w:szCs w:val="21"/>
        </w:rPr>
        <w:t xml:space="preserve">previously stated, there </w:t>
      </w:r>
      <w:r w:rsidR="006746A2" w:rsidRPr="000A4B16">
        <w:rPr>
          <w:rFonts w:cstheme="minorHAnsi"/>
          <w:sz w:val="20"/>
          <w:szCs w:val="21"/>
        </w:rPr>
        <w:t>is a</w:t>
      </w:r>
      <w:r w:rsidR="009477A6" w:rsidRPr="000A4B16">
        <w:rPr>
          <w:rFonts w:cstheme="minorHAnsi"/>
          <w:sz w:val="20"/>
          <w:szCs w:val="21"/>
        </w:rPr>
        <w:t xml:space="preserve"> direct</w:t>
      </w:r>
      <w:r w:rsidR="006746A2" w:rsidRPr="000A4B16">
        <w:rPr>
          <w:rFonts w:cstheme="minorHAnsi"/>
          <w:sz w:val="20"/>
          <w:szCs w:val="21"/>
        </w:rPr>
        <w:t xml:space="preserve"> correlation between </w:t>
      </w:r>
      <w:r w:rsidR="009477A6" w:rsidRPr="000A4B16">
        <w:rPr>
          <w:rFonts w:cstheme="minorHAnsi"/>
          <w:sz w:val="20"/>
          <w:szCs w:val="21"/>
        </w:rPr>
        <w:t xml:space="preserve">weapon detections and </w:t>
      </w:r>
      <w:r w:rsidR="00A032CF" w:rsidRPr="000A4B16">
        <w:rPr>
          <w:rFonts w:cstheme="minorHAnsi"/>
          <w:sz w:val="20"/>
          <w:szCs w:val="21"/>
        </w:rPr>
        <w:t>County Lines</w:t>
      </w:r>
      <w:r w:rsidR="009477A6" w:rsidRPr="000A4B16">
        <w:rPr>
          <w:rFonts w:cstheme="minorHAnsi"/>
          <w:sz w:val="20"/>
          <w:szCs w:val="21"/>
        </w:rPr>
        <w:t xml:space="preserve"> activity</w:t>
      </w:r>
      <w:r w:rsidR="00E30917" w:rsidRPr="000A4B16">
        <w:rPr>
          <w:rFonts w:cstheme="minorHAnsi"/>
          <w:sz w:val="20"/>
          <w:szCs w:val="21"/>
        </w:rPr>
        <w:t xml:space="preserve"> and t</w:t>
      </w:r>
      <w:r w:rsidR="002F4DE1" w:rsidRPr="000A4B16">
        <w:rPr>
          <w:rFonts w:cstheme="minorHAnsi"/>
          <w:sz w:val="20"/>
          <w:szCs w:val="21"/>
        </w:rPr>
        <w:t>his is</w:t>
      </w:r>
      <w:r w:rsidR="00E30917" w:rsidRPr="000A4B16">
        <w:rPr>
          <w:rFonts w:cstheme="minorHAnsi"/>
          <w:sz w:val="20"/>
          <w:szCs w:val="21"/>
        </w:rPr>
        <w:t xml:space="preserve"> most</w:t>
      </w:r>
      <w:r w:rsidR="002F4DE1" w:rsidRPr="000A4B16">
        <w:rPr>
          <w:rFonts w:cstheme="minorHAnsi"/>
          <w:sz w:val="20"/>
          <w:szCs w:val="21"/>
        </w:rPr>
        <w:t xml:space="preserve"> evident</w:t>
      </w:r>
      <w:r w:rsidR="009477A6" w:rsidRPr="000A4B16">
        <w:rPr>
          <w:rFonts w:cstheme="minorHAnsi"/>
          <w:sz w:val="20"/>
          <w:szCs w:val="21"/>
        </w:rPr>
        <w:t xml:space="preserve"> in the East sector</w:t>
      </w:r>
      <w:r w:rsidR="002F4DE1" w:rsidRPr="000A4B16">
        <w:rPr>
          <w:rFonts w:cstheme="minorHAnsi"/>
          <w:sz w:val="20"/>
          <w:szCs w:val="21"/>
        </w:rPr>
        <w:t xml:space="preserve">, where </w:t>
      </w:r>
      <w:r w:rsidR="009477A6" w:rsidRPr="000A4B16">
        <w:rPr>
          <w:rFonts w:cstheme="minorHAnsi"/>
          <w:sz w:val="20"/>
          <w:szCs w:val="21"/>
        </w:rPr>
        <w:t xml:space="preserve">days of action have resulted in a 340% rise in weapon detections. </w:t>
      </w:r>
      <w:r w:rsidR="00E30917" w:rsidRPr="000A4B16">
        <w:rPr>
          <w:rFonts w:cstheme="minorHAnsi"/>
          <w:sz w:val="20"/>
          <w:szCs w:val="21"/>
        </w:rPr>
        <w:t>Overall, detection rate for weapons</w:t>
      </w:r>
      <w:r w:rsidR="009A1128" w:rsidRPr="000A4B16">
        <w:rPr>
          <w:rFonts w:cstheme="minorHAnsi"/>
          <w:sz w:val="20"/>
          <w:szCs w:val="21"/>
        </w:rPr>
        <w:t xml:space="preserve"> is 89%.</w:t>
      </w:r>
      <w:r w:rsidR="009477A6" w:rsidRPr="000A4B16">
        <w:rPr>
          <w:rFonts w:cstheme="minorHAnsi"/>
          <w:sz w:val="20"/>
          <w:szCs w:val="21"/>
        </w:rPr>
        <w:t xml:space="preserve"> </w:t>
      </w:r>
    </w:p>
    <w:p w:rsidR="00841C87" w:rsidRPr="000A4B16" w:rsidRDefault="00841C87" w:rsidP="00841C87">
      <w:pPr>
        <w:jc w:val="both"/>
        <w:rPr>
          <w:rFonts w:cstheme="minorHAnsi"/>
          <w:sz w:val="20"/>
          <w:szCs w:val="21"/>
        </w:rPr>
      </w:pPr>
      <w:r w:rsidRPr="000A4B16">
        <w:rPr>
          <w:rFonts w:cstheme="minorHAnsi"/>
          <w:sz w:val="20"/>
          <w:szCs w:val="21"/>
        </w:rPr>
        <w:lastRenderedPageBreak/>
        <w:t>The BTP Operation Sentinel ‘Focused on Your Safety’ Campaign seeks to reassure the public and rail staff</w:t>
      </w:r>
      <w:r w:rsidR="009477A6" w:rsidRPr="000A4B16">
        <w:rPr>
          <w:rFonts w:cstheme="minorHAnsi"/>
          <w:sz w:val="20"/>
          <w:szCs w:val="21"/>
        </w:rPr>
        <w:t xml:space="preserve"> </w:t>
      </w:r>
      <w:r w:rsidRPr="000A4B16">
        <w:rPr>
          <w:rFonts w:cstheme="minorHAnsi"/>
          <w:sz w:val="20"/>
          <w:szCs w:val="21"/>
        </w:rPr>
        <w:t xml:space="preserve">and deter offenders by increasing visibility and presence on the network </w:t>
      </w:r>
      <w:r w:rsidR="002F4DE1" w:rsidRPr="000A4B16">
        <w:rPr>
          <w:rFonts w:cstheme="minorHAnsi"/>
          <w:sz w:val="20"/>
          <w:szCs w:val="21"/>
        </w:rPr>
        <w:t>th</w:t>
      </w:r>
      <w:r w:rsidRPr="000A4B16">
        <w:rPr>
          <w:rFonts w:cstheme="minorHAnsi"/>
          <w:sz w:val="20"/>
          <w:szCs w:val="21"/>
        </w:rPr>
        <w:t xml:space="preserve">rough visual messaging. </w:t>
      </w:r>
      <w:r w:rsidR="00E30917" w:rsidRPr="000A4B16">
        <w:rPr>
          <w:rFonts w:cstheme="minorHAnsi"/>
          <w:sz w:val="20"/>
          <w:szCs w:val="21"/>
        </w:rPr>
        <w:t>Recent p</w:t>
      </w:r>
      <w:r w:rsidR="009477A6" w:rsidRPr="000A4B16">
        <w:rPr>
          <w:rFonts w:cstheme="minorHAnsi"/>
          <w:sz w:val="20"/>
          <w:szCs w:val="21"/>
        </w:rPr>
        <w:t xml:space="preserve">roactive activity utilising the walkthrough ‘Knife Arch’ metal scanner </w:t>
      </w:r>
      <w:r w:rsidR="00796C52" w:rsidRPr="000A4B16">
        <w:rPr>
          <w:rFonts w:cstheme="minorHAnsi"/>
          <w:sz w:val="20"/>
          <w:szCs w:val="21"/>
        </w:rPr>
        <w:t>took place in the Inverclyde</w:t>
      </w:r>
      <w:r w:rsidR="008966A5" w:rsidRPr="000A4B16">
        <w:rPr>
          <w:rFonts w:cstheme="minorHAnsi"/>
          <w:sz w:val="20"/>
          <w:szCs w:val="21"/>
        </w:rPr>
        <w:t xml:space="preserve"> </w:t>
      </w:r>
      <w:r w:rsidR="00796C52" w:rsidRPr="000A4B16">
        <w:rPr>
          <w:rFonts w:cstheme="minorHAnsi"/>
          <w:sz w:val="20"/>
          <w:szCs w:val="21"/>
        </w:rPr>
        <w:t>area</w:t>
      </w:r>
      <w:r w:rsidR="008D039F" w:rsidRPr="000A4B16">
        <w:rPr>
          <w:rFonts w:cstheme="minorHAnsi"/>
          <w:sz w:val="20"/>
          <w:szCs w:val="21"/>
        </w:rPr>
        <w:t xml:space="preserve"> (66 passengers checked</w:t>
      </w:r>
      <w:r w:rsidR="007F5380">
        <w:rPr>
          <w:rFonts w:cstheme="minorHAnsi"/>
          <w:sz w:val="20"/>
          <w:szCs w:val="21"/>
        </w:rPr>
        <w:t xml:space="preserve"> resulting in </w:t>
      </w:r>
      <w:r w:rsidR="003F676C">
        <w:rPr>
          <w:rFonts w:cstheme="minorHAnsi"/>
          <w:sz w:val="20"/>
          <w:szCs w:val="21"/>
        </w:rPr>
        <w:t>15 activations</w:t>
      </w:r>
      <w:r w:rsidR="008D039F" w:rsidRPr="000A4B16">
        <w:rPr>
          <w:rFonts w:cstheme="minorHAnsi"/>
          <w:sz w:val="20"/>
          <w:szCs w:val="21"/>
        </w:rPr>
        <w:t>)</w:t>
      </w:r>
      <w:r w:rsidR="00796C52" w:rsidRPr="000A4B16">
        <w:rPr>
          <w:rFonts w:cstheme="minorHAnsi"/>
          <w:sz w:val="20"/>
          <w:szCs w:val="21"/>
        </w:rPr>
        <w:t xml:space="preserve"> which </w:t>
      </w:r>
      <w:r w:rsidR="00E30917" w:rsidRPr="000A4B16">
        <w:rPr>
          <w:rFonts w:cstheme="minorHAnsi"/>
          <w:sz w:val="20"/>
          <w:szCs w:val="21"/>
        </w:rPr>
        <w:t>generat</w:t>
      </w:r>
      <w:r w:rsidR="00796C52" w:rsidRPr="000A4B16">
        <w:rPr>
          <w:rFonts w:cstheme="minorHAnsi"/>
          <w:sz w:val="20"/>
          <w:szCs w:val="21"/>
        </w:rPr>
        <w:t>ed</w:t>
      </w:r>
      <w:r w:rsidR="00E30917" w:rsidRPr="000A4B16">
        <w:rPr>
          <w:rFonts w:cstheme="minorHAnsi"/>
          <w:sz w:val="20"/>
          <w:szCs w:val="21"/>
        </w:rPr>
        <w:t xml:space="preserve"> positive media coverage</w:t>
      </w:r>
      <w:r w:rsidR="008966A5" w:rsidRPr="000A4B16">
        <w:rPr>
          <w:rFonts w:cstheme="minorHAnsi"/>
          <w:sz w:val="20"/>
          <w:szCs w:val="21"/>
        </w:rPr>
        <w:t>. T</w:t>
      </w:r>
      <w:r w:rsidR="00796C52" w:rsidRPr="000A4B16">
        <w:rPr>
          <w:rFonts w:cstheme="minorHAnsi"/>
          <w:sz w:val="20"/>
          <w:szCs w:val="21"/>
        </w:rPr>
        <w:t>here ar</w:t>
      </w:r>
      <w:r w:rsidR="00E30917" w:rsidRPr="000A4B16">
        <w:rPr>
          <w:rFonts w:cstheme="minorHAnsi"/>
          <w:sz w:val="20"/>
          <w:szCs w:val="21"/>
        </w:rPr>
        <w:t>e further operations planned.</w:t>
      </w:r>
      <w:r w:rsidR="009477A6" w:rsidRPr="000A4B16">
        <w:rPr>
          <w:rFonts w:cstheme="minorHAnsi"/>
          <w:sz w:val="20"/>
          <w:szCs w:val="21"/>
        </w:rPr>
        <w:t xml:space="preserve"> </w:t>
      </w:r>
    </w:p>
    <w:p w:rsidR="00A87701" w:rsidRPr="000A4B16" w:rsidRDefault="00A87701" w:rsidP="00A87701">
      <w:pPr>
        <w:pStyle w:val="CommentText"/>
        <w:jc w:val="both"/>
        <w:rPr>
          <w:rFonts w:cstheme="minorHAnsi"/>
          <w:szCs w:val="21"/>
        </w:rPr>
      </w:pPr>
      <w:r w:rsidRPr="000A4B16">
        <w:rPr>
          <w:rFonts w:cstheme="minorHAnsi"/>
          <w:szCs w:val="21"/>
        </w:rPr>
        <w:t xml:space="preserve">The increase in weapon offences for BTP mirrors </w:t>
      </w:r>
      <w:r w:rsidR="00201E62" w:rsidRPr="000A4B16">
        <w:rPr>
          <w:rFonts w:cstheme="minorHAnsi"/>
          <w:szCs w:val="21"/>
        </w:rPr>
        <w:t>the national picture, with ne</w:t>
      </w:r>
      <w:r w:rsidRPr="000A4B16">
        <w:rPr>
          <w:rFonts w:cstheme="minorHAnsi"/>
          <w:szCs w:val="21"/>
        </w:rPr>
        <w:t>arly</w:t>
      </w:r>
      <w:r w:rsidR="0006338D" w:rsidRPr="000A4B16">
        <w:rPr>
          <w:rFonts w:cstheme="minorHAnsi"/>
          <w:szCs w:val="21"/>
        </w:rPr>
        <w:t xml:space="preserve"> every</w:t>
      </w:r>
      <w:r w:rsidRPr="000A4B16">
        <w:rPr>
          <w:rFonts w:cstheme="minorHAnsi"/>
          <w:szCs w:val="21"/>
        </w:rPr>
        <w:t xml:space="preserve"> d</w:t>
      </w:r>
      <w:r w:rsidR="0006338D" w:rsidRPr="000A4B16">
        <w:rPr>
          <w:rFonts w:cstheme="minorHAnsi"/>
          <w:szCs w:val="21"/>
        </w:rPr>
        <w:t xml:space="preserve">ivision </w:t>
      </w:r>
      <w:r w:rsidR="00201E62" w:rsidRPr="000A4B16">
        <w:rPr>
          <w:rFonts w:cstheme="minorHAnsi"/>
          <w:szCs w:val="21"/>
        </w:rPr>
        <w:t>of</w:t>
      </w:r>
      <w:r w:rsidRPr="000A4B16">
        <w:rPr>
          <w:rFonts w:cstheme="minorHAnsi"/>
          <w:szCs w:val="21"/>
        </w:rPr>
        <w:t xml:space="preserve"> Police Scotland</w:t>
      </w:r>
      <w:r w:rsidR="00201E62" w:rsidRPr="000A4B16">
        <w:rPr>
          <w:rFonts w:cstheme="minorHAnsi"/>
          <w:szCs w:val="21"/>
        </w:rPr>
        <w:t xml:space="preserve"> experiencing increase in this area of crime.</w:t>
      </w:r>
      <w:r w:rsidRPr="000A4B16">
        <w:rPr>
          <w:rFonts w:cstheme="minorHAnsi"/>
          <w:szCs w:val="21"/>
        </w:rPr>
        <w:t xml:space="preserve"> Joint working</w:t>
      </w:r>
      <w:r w:rsidR="00201E62" w:rsidRPr="000A4B16">
        <w:rPr>
          <w:rFonts w:cstheme="minorHAnsi"/>
          <w:szCs w:val="21"/>
        </w:rPr>
        <w:t xml:space="preserve"> with Police Scotland</w:t>
      </w:r>
      <w:r w:rsidRPr="000A4B16">
        <w:rPr>
          <w:rFonts w:cstheme="minorHAnsi"/>
          <w:szCs w:val="21"/>
        </w:rPr>
        <w:t xml:space="preserve"> has taken place to target</w:t>
      </w:r>
      <w:r w:rsidR="0006338D" w:rsidRPr="000A4B16">
        <w:rPr>
          <w:rFonts w:cstheme="minorHAnsi"/>
          <w:szCs w:val="21"/>
        </w:rPr>
        <w:t xml:space="preserve"> certain locations</w:t>
      </w:r>
      <w:r w:rsidRPr="000A4B16">
        <w:rPr>
          <w:rFonts w:cstheme="minorHAnsi"/>
          <w:szCs w:val="21"/>
        </w:rPr>
        <w:t xml:space="preserve"> </w:t>
      </w:r>
      <w:r w:rsidR="00201E62" w:rsidRPr="000A4B16">
        <w:rPr>
          <w:rFonts w:cstheme="minorHAnsi"/>
          <w:szCs w:val="21"/>
        </w:rPr>
        <w:t>to</w:t>
      </w:r>
      <w:r w:rsidRPr="000A4B16">
        <w:rPr>
          <w:rFonts w:cstheme="minorHAnsi"/>
          <w:szCs w:val="21"/>
        </w:rPr>
        <w:t xml:space="preserve"> address </w:t>
      </w:r>
      <w:r w:rsidR="00201E62" w:rsidRPr="000A4B16">
        <w:rPr>
          <w:rFonts w:cstheme="minorHAnsi"/>
          <w:szCs w:val="21"/>
        </w:rPr>
        <w:t xml:space="preserve">this </w:t>
      </w:r>
      <w:r w:rsidRPr="000A4B16">
        <w:rPr>
          <w:rFonts w:cstheme="minorHAnsi"/>
          <w:szCs w:val="21"/>
        </w:rPr>
        <w:t>issue.</w:t>
      </w:r>
    </w:p>
    <w:p w:rsidR="00A87701" w:rsidRPr="000A4B16" w:rsidRDefault="00A87701" w:rsidP="00201E62">
      <w:pPr>
        <w:pStyle w:val="CommentText"/>
        <w:spacing w:line="276" w:lineRule="auto"/>
        <w:jc w:val="both"/>
        <w:rPr>
          <w:rFonts w:cstheme="minorHAnsi"/>
          <w:szCs w:val="21"/>
        </w:rPr>
      </w:pPr>
      <w:r w:rsidRPr="000A4B16">
        <w:rPr>
          <w:rFonts w:cstheme="minorHAnsi"/>
          <w:szCs w:val="21"/>
        </w:rPr>
        <w:t xml:space="preserve">One notable example of </w:t>
      </w:r>
      <w:r w:rsidR="00201E62" w:rsidRPr="000A4B16">
        <w:rPr>
          <w:rFonts w:cstheme="minorHAnsi"/>
          <w:szCs w:val="21"/>
        </w:rPr>
        <w:t xml:space="preserve">this </w:t>
      </w:r>
      <w:r w:rsidRPr="000A4B16">
        <w:rPr>
          <w:rFonts w:cstheme="minorHAnsi"/>
          <w:szCs w:val="21"/>
        </w:rPr>
        <w:t xml:space="preserve">joint working is in relation to an incident at Glengarnock Station on 13/12/2020 where a young male was attacked by youths and struck with a baseball bat. Diligent enquiry work and early preservation of the scene saw 2 youths charged with Assault and Offensive Weapon crimes. Regular joint action plans with Police Scotland have targeted youth disorder in and around the train stations. This has had a real positive impact in lessening violent crime, particularly at Glasgow Central station. </w:t>
      </w:r>
    </w:p>
    <w:p w:rsidR="008966A5" w:rsidRDefault="008966A5" w:rsidP="002F4DE1">
      <w:pPr>
        <w:jc w:val="both"/>
        <w:rPr>
          <w:rFonts w:cstheme="minorHAnsi"/>
          <w:sz w:val="21"/>
          <w:szCs w:val="21"/>
        </w:rPr>
      </w:pPr>
    </w:p>
    <w:p w:rsidR="00170ED8" w:rsidRPr="008B471A" w:rsidRDefault="00170ED8" w:rsidP="00170ED8">
      <w:pPr>
        <w:jc w:val="both"/>
        <w:rPr>
          <w:rFonts w:cstheme="minorHAnsi"/>
          <w:b/>
          <w:color w:val="000000"/>
          <w:sz w:val="21"/>
          <w:szCs w:val="21"/>
          <w:u w:val="single"/>
        </w:rPr>
      </w:pPr>
      <w:r w:rsidRPr="008B471A">
        <w:rPr>
          <w:rFonts w:cstheme="minorHAnsi"/>
          <w:b/>
          <w:color w:val="000000"/>
          <w:sz w:val="21"/>
          <w:szCs w:val="21"/>
          <w:u w:val="single"/>
        </w:rPr>
        <w:t>Staff Violence</w:t>
      </w:r>
    </w:p>
    <w:p w:rsidR="002D5360" w:rsidRPr="000A4B16" w:rsidRDefault="005B684E" w:rsidP="002D5360">
      <w:pPr>
        <w:rPr>
          <w:rFonts w:cstheme="minorHAnsi"/>
          <w:b/>
          <w:i/>
          <w:color w:val="1F3864" w:themeColor="accent1" w:themeShade="80"/>
          <w:sz w:val="20"/>
          <w:szCs w:val="21"/>
        </w:rPr>
      </w:pPr>
      <w:r w:rsidRPr="000A4B16">
        <w:rPr>
          <w:rFonts w:cstheme="minorHAnsi"/>
          <w:b/>
          <w:i/>
          <w:color w:val="1F3864" w:themeColor="accent1" w:themeShade="80"/>
          <w:sz w:val="20"/>
          <w:szCs w:val="21"/>
        </w:rPr>
        <w:t xml:space="preserve">Local </w:t>
      </w:r>
      <w:r w:rsidR="00170ED8" w:rsidRPr="000A4B16">
        <w:rPr>
          <w:rFonts w:cstheme="minorHAnsi"/>
          <w:b/>
          <w:i/>
          <w:color w:val="1F3864" w:themeColor="accent1" w:themeShade="80"/>
          <w:sz w:val="20"/>
          <w:szCs w:val="21"/>
        </w:rPr>
        <w:t>Objective</w:t>
      </w:r>
      <w:r w:rsidRPr="000A4B16">
        <w:rPr>
          <w:rFonts w:cstheme="minorHAnsi"/>
          <w:b/>
          <w:i/>
          <w:color w:val="1F3864" w:themeColor="accent1" w:themeShade="80"/>
          <w:sz w:val="20"/>
          <w:szCs w:val="21"/>
        </w:rPr>
        <w:t xml:space="preserve">: </w:t>
      </w:r>
      <w:r w:rsidR="00170ED8" w:rsidRPr="000A4B16">
        <w:rPr>
          <w:rFonts w:cstheme="minorHAnsi"/>
          <w:b/>
          <w:i/>
          <w:color w:val="1F3864" w:themeColor="accent1" w:themeShade="80"/>
          <w:sz w:val="20"/>
          <w:szCs w:val="21"/>
        </w:rPr>
        <w:t xml:space="preserve"> </w:t>
      </w:r>
      <w:r w:rsidR="002D5360" w:rsidRPr="000A4B16">
        <w:rPr>
          <w:rFonts w:cstheme="minorHAnsi"/>
          <w:b/>
          <w:i/>
          <w:color w:val="1F3864" w:themeColor="accent1" w:themeShade="80"/>
          <w:sz w:val="20"/>
          <w:szCs w:val="21"/>
        </w:rPr>
        <w:t>Prevent Assaults on Rail Staff and Increase Positive Outcomes</w:t>
      </w:r>
    </w:p>
    <w:p w:rsidR="009477A6" w:rsidRPr="000A4B16" w:rsidRDefault="00652984" w:rsidP="00770908">
      <w:pPr>
        <w:spacing w:after="0"/>
        <w:rPr>
          <w:rFonts w:cstheme="minorHAnsi"/>
          <w:sz w:val="20"/>
          <w:szCs w:val="21"/>
        </w:rPr>
      </w:pPr>
      <w:r w:rsidRPr="000A4B16">
        <w:rPr>
          <w:b/>
          <w:sz w:val="20"/>
          <w:szCs w:val="21"/>
        </w:rPr>
        <w:t>To date there have been</w:t>
      </w:r>
      <w:r w:rsidR="00B871B3" w:rsidRPr="000A4B16">
        <w:rPr>
          <w:b/>
          <w:sz w:val="20"/>
          <w:szCs w:val="21"/>
        </w:rPr>
        <w:t xml:space="preserve"> 39</w:t>
      </w:r>
      <w:r w:rsidRPr="000A4B16">
        <w:rPr>
          <w:b/>
          <w:sz w:val="20"/>
          <w:szCs w:val="21"/>
        </w:rPr>
        <w:t xml:space="preserve"> physical assaults </w:t>
      </w:r>
      <w:r w:rsidR="005B684E" w:rsidRPr="000A4B16">
        <w:rPr>
          <w:b/>
          <w:sz w:val="20"/>
          <w:szCs w:val="21"/>
        </w:rPr>
        <w:t>and 99 verbal crimes</w:t>
      </w:r>
      <w:r w:rsidR="00E30917" w:rsidRPr="000A4B16">
        <w:rPr>
          <w:b/>
          <w:sz w:val="20"/>
          <w:szCs w:val="21"/>
        </w:rPr>
        <w:t xml:space="preserve"> against staff members</w:t>
      </w:r>
      <w:r w:rsidRPr="000A4B16">
        <w:rPr>
          <w:b/>
          <w:sz w:val="20"/>
          <w:szCs w:val="21"/>
        </w:rPr>
        <w:t xml:space="preserve">. </w:t>
      </w:r>
      <w:r w:rsidRPr="000A4B16">
        <w:rPr>
          <w:sz w:val="20"/>
          <w:szCs w:val="21"/>
        </w:rPr>
        <w:t>The detection rate for physical assault is 7</w:t>
      </w:r>
      <w:r w:rsidR="005B684E" w:rsidRPr="000A4B16">
        <w:rPr>
          <w:sz w:val="20"/>
          <w:szCs w:val="21"/>
        </w:rPr>
        <w:t>7</w:t>
      </w:r>
      <w:r w:rsidRPr="000A4B16">
        <w:rPr>
          <w:sz w:val="20"/>
          <w:szCs w:val="21"/>
        </w:rPr>
        <w:t>%</w:t>
      </w:r>
      <w:r w:rsidR="005B684E" w:rsidRPr="000A4B16">
        <w:rPr>
          <w:sz w:val="20"/>
          <w:szCs w:val="21"/>
        </w:rPr>
        <w:t xml:space="preserve"> </w:t>
      </w:r>
      <w:r w:rsidR="00605D97" w:rsidRPr="000A4B16">
        <w:rPr>
          <w:sz w:val="20"/>
          <w:szCs w:val="21"/>
        </w:rPr>
        <w:t>(</w:t>
      </w:r>
      <w:r w:rsidR="00A468CE" w:rsidRPr="000A4B16">
        <w:rPr>
          <w:sz w:val="20"/>
          <w:szCs w:val="21"/>
        </w:rPr>
        <w:t>+17%</w:t>
      </w:r>
      <w:r w:rsidR="00605D97" w:rsidRPr="000A4B16">
        <w:rPr>
          <w:sz w:val="20"/>
          <w:szCs w:val="21"/>
        </w:rPr>
        <w:t xml:space="preserve"> on last year) </w:t>
      </w:r>
      <w:r w:rsidR="005B684E" w:rsidRPr="000A4B16">
        <w:rPr>
          <w:sz w:val="20"/>
          <w:szCs w:val="21"/>
        </w:rPr>
        <w:t xml:space="preserve">and verbal is </w:t>
      </w:r>
      <w:r w:rsidR="00A468CE" w:rsidRPr="000A4B16">
        <w:rPr>
          <w:sz w:val="20"/>
          <w:szCs w:val="21"/>
        </w:rPr>
        <w:t>40</w:t>
      </w:r>
      <w:r w:rsidR="005B684E" w:rsidRPr="000A4B16">
        <w:rPr>
          <w:sz w:val="20"/>
          <w:szCs w:val="21"/>
        </w:rPr>
        <w:t>%</w:t>
      </w:r>
      <w:r w:rsidR="00605D97" w:rsidRPr="000A4B16">
        <w:rPr>
          <w:sz w:val="20"/>
          <w:szCs w:val="21"/>
        </w:rPr>
        <w:t xml:space="preserve"> (</w:t>
      </w:r>
      <w:r w:rsidR="00A468CE" w:rsidRPr="000A4B16">
        <w:rPr>
          <w:sz w:val="20"/>
          <w:szCs w:val="21"/>
        </w:rPr>
        <w:t xml:space="preserve">+8% </w:t>
      </w:r>
      <w:r w:rsidR="00605D97" w:rsidRPr="000A4B16">
        <w:rPr>
          <w:sz w:val="20"/>
          <w:szCs w:val="21"/>
        </w:rPr>
        <w:t>on last year)</w:t>
      </w:r>
      <w:r w:rsidRPr="000A4B16">
        <w:rPr>
          <w:sz w:val="20"/>
          <w:szCs w:val="21"/>
        </w:rPr>
        <w:t>.</w:t>
      </w:r>
      <w:r w:rsidR="00541AEB" w:rsidRPr="000A4B16">
        <w:rPr>
          <w:rFonts w:cstheme="minorHAnsi"/>
          <w:sz w:val="20"/>
          <w:szCs w:val="21"/>
        </w:rPr>
        <w:t xml:space="preserve"> </w:t>
      </w:r>
      <w:r w:rsidR="00E76FA0" w:rsidRPr="000A4B16">
        <w:rPr>
          <w:sz w:val="20"/>
          <w:szCs w:val="21"/>
        </w:rPr>
        <w:t xml:space="preserve">Over half of the verbal crime directed towards staff is Threatening and Abusive Behaviour (58%, 58 crimes). </w:t>
      </w:r>
      <w:r w:rsidR="00DB630F" w:rsidRPr="000A4B16">
        <w:rPr>
          <w:sz w:val="20"/>
          <w:szCs w:val="21"/>
        </w:rPr>
        <w:t>Nearly all v</w:t>
      </w:r>
      <w:r w:rsidR="00E76FA0" w:rsidRPr="000A4B16">
        <w:rPr>
          <w:sz w:val="20"/>
          <w:szCs w:val="21"/>
        </w:rPr>
        <w:t>iolence</w:t>
      </w:r>
      <w:r w:rsidR="00DB630F" w:rsidRPr="000A4B16">
        <w:rPr>
          <w:sz w:val="20"/>
          <w:szCs w:val="21"/>
        </w:rPr>
        <w:t xml:space="preserve"> against staff </w:t>
      </w:r>
      <w:r w:rsidR="00E76FA0" w:rsidRPr="000A4B16">
        <w:rPr>
          <w:sz w:val="20"/>
          <w:szCs w:val="21"/>
        </w:rPr>
        <w:t xml:space="preserve">has been </w:t>
      </w:r>
      <w:r w:rsidR="00DB630F" w:rsidRPr="000A4B16">
        <w:rPr>
          <w:sz w:val="20"/>
          <w:szCs w:val="21"/>
        </w:rPr>
        <w:t xml:space="preserve">mostly </w:t>
      </w:r>
      <w:r w:rsidR="00E76FA0" w:rsidRPr="000A4B16">
        <w:rPr>
          <w:sz w:val="20"/>
          <w:szCs w:val="21"/>
        </w:rPr>
        <w:t>Common Assault causing No Injury</w:t>
      </w:r>
      <w:r w:rsidR="00A55127" w:rsidRPr="000A4B16">
        <w:rPr>
          <w:sz w:val="20"/>
          <w:szCs w:val="21"/>
        </w:rPr>
        <w:t xml:space="preserve">, </w:t>
      </w:r>
      <w:r w:rsidR="00DB630F" w:rsidRPr="000A4B16">
        <w:rPr>
          <w:sz w:val="20"/>
          <w:szCs w:val="21"/>
        </w:rPr>
        <w:t xml:space="preserve">yet </w:t>
      </w:r>
      <w:r w:rsidR="00A55127" w:rsidRPr="000A4B16">
        <w:rPr>
          <w:sz w:val="20"/>
          <w:szCs w:val="21"/>
        </w:rPr>
        <w:t>1</w:t>
      </w:r>
      <w:r w:rsidR="00DB630F" w:rsidRPr="000A4B16">
        <w:rPr>
          <w:sz w:val="20"/>
          <w:szCs w:val="21"/>
        </w:rPr>
        <w:t xml:space="preserve"> incident </w:t>
      </w:r>
      <w:r w:rsidR="00A55127" w:rsidRPr="000A4B16">
        <w:rPr>
          <w:sz w:val="20"/>
          <w:szCs w:val="21"/>
        </w:rPr>
        <w:t xml:space="preserve">of spittle assault </w:t>
      </w:r>
      <w:r w:rsidR="00DB630F" w:rsidRPr="000A4B16">
        <w:rPr>
          <w:sz w:val="20"/>
          <w:szCs w:val="21"/>
        </w:rPr>
        <w:t>w</w:t>
      </w:r>
      <w:r w:rsidR="00A55127" w:rsidRPr="000A4B16">
        <w:rPr>
          <w:sz w:val="20"/>
          <w:szCs w:val="21"/>
        </w:rPr>
        <w:t>as</w:t>
      </w:r>
      <w:r w:rsidR="00DB630F" w:rsidRPr="000A4B16">
        <w:rPr>
          <w:sz w:val="20"/>
          <w:szCs w:val="21"/>
        </w:rPr>
        <w:t xml:space="preserve"> classified</w:t>
      </w:r>
      <w:r w:rsidR="00E76FA0" w:rsidRPr="000A4B16">
        <w:rPr>
          <w:sz w:val="20"/>
          <w:szCs w:val="21"/>
        </w:rPr>
        <w:t xml:space="preserve"> </w:t>
      </w:r>
      <w:r w:rsidR="00DB630F" w:rsidRPr="000A4B16">
        <w:rPr>
          <w:sz w:val="20"/>
          <w:szCs w:val="21"/>
        </w:rPr>
        <w:t xml:space="preserve">as </w:t>
      </w:r>
      <w:r w:rsidR="00E76FA0" w:rsidRPr="000A4B16">
        <w:rPr>
          <w:sz w:val="20"/>
          <w:szCs w:val="21"/>
        </w:rPr>
        <w:t>Culpable and Reckless Conduct.</w:t>
      </w:r>
    </w:p>
    <w:p w:rsidR="009477A6" w:rsidRPr="000A4B16" w:rsidRDefault="009477A6" w:rsidP="006F28D6">
      <w:pPr>
        <w:spacing w:after="0"/>
        <w:jc w:val="both"/>
        <w:rPr>
          <w:rFonts w:cstheme="minorHAnsi"/>
          <w:sz w:val="20"/>
          <w:szCs w:val="21"/>
        </w:rPr>
      </w:pPr>
    </w:p>
    <w:p w:rsidR="00FC1353" w:rsidRPr="000A4B16" w:rsidRDefault="00605D97" w:rsidP="006F28D6">
      <w:pPr>
        <w:spacing w:after="0"/>
        <w:jc w:val="both"/>
        <w:rPr>
          <w:rFonts w:cstheme="minorHAnsi"/>
          <w:sz w:val="20"/>
          <w:szCs w:val="21"/>
        </w:rPr>
      </w:pPr>
      <w:r w:rsidRPr="000A4B16">
        <w:rPr>
          <w:rFonts w:cstheme="minorHAnsi"/>
          <w:sz w:val="20"/>
          <w:szCs w:val="21"/>
        </w:rPr>
        <w:t xml:space="preserve">D Division saw a </w:t>
      </w:r>
      <w:r w:rsidR="009A1128" w:rsidRPr="000A4B16">
        <w:rPr>
          <w:rFonts w:cstheme="minorHAnsi"/>
          <w:sz w:val="20"/>
          <w:szCs w:val="21"/>
        </w:rPr>
        <w:t>sharp rise in violence against staff in late October, early November</w:t>
      </w:r>
      <w:r w:rsidR="00E76FA0" w:rsidRPr="000A4B16">
        <w:rPr>
          <w:rFonts w:cstheme="minorHAnsi"/>
          <w:sz w:val="20"/>
          <w:szCs w:val="21"/>
        </w:rPr>
        <w:t xml:space="preserve">. </w:t>
      </w:r>
      <w:r w:rsidR="009A1128" w:rsidRPr="000A4B16">
        <w:rPr>
          <w:rFonts w:cstheme="minorHAnsi"/>
          <w:sz w:val="20"/>
          <w:szCs w:val="21"/>
        </w:rPr>
        <w:t>This</w:t>
      </w:r>
      <w:r w:rsidR="00E76FA0" w:rsidRPr="000A4B16">
        <w:rPr>
          <w:rFonts w:cstheme="minorHAnsi"/>
          <w:sz w:val="20"/>
          <w:szCs w:val="21"/>
        </w:rPr>
        <w:t xml:space="preserve"> mainly</w:t>
      </w:r>
      <w:r w:rsidR="009A1128" w:rsidRPr="000A4B16">
        <w:rPr>
          <w:rFonts w:cstheme="minorHAnsi"/>
          <w:sz w:val="20"/>
          <w:szCs w:val="21"/>
        </w:rPr>
        <w:t xml:space="preserve"> took the form of</w:t>
      </w:r>
      <w:r w:rsidR="00E76FA0" w:rsidRPr="000A4B16">
        <w:rPr>
          <w:rFonts w:cstheme="minorHAnsi"/>
          <w:sz w:val="20"/>
          <w:szCs w:val="21"/>
        </w:rPr>
        <w:t xml:space="preserve"> abuse from young offenders and a </w:t>
      </w:r>
      <w:r w:rsidR="00DB630F" w:rsidRPr="000A4B16">
        <w:rPr>
          <w:rFonts w:cstheme="minorHAnsi"/>
          <w:sz w:val="20"/>
          <w:szCs w:val="21"/>
        </w:rPr>
        <w:t xml:space="preserve">significant </w:t>
      </w:r>
      <w:r w:rsidR="00E76FA0" w:rsidRPr="000A4B16">
        <w:rPr>
          <w:rFonts w:cstheme="minorHAnsi"/>
          <w:sz w:val="20"/>
          <w:szCs w:val="21"/>
        </w:rPr>
        <w:t>rise in</w:t>
      </w:r>
      <w:r w:rsidR="009A1128" w:rsidRPr="000A4B16">
        <w:rPr>
          <w:rFonts w:cstheme="minorHAnsi"/>
          <w:sz w:val="20"/>
          <w:szCs w:val="21"/>
        </w:rPr>
        <w:t xml:space="preserve"> spittle assault. </w:t>
      </w:r>
      <w:r w:rsidR="00E76FA0" w:rsidRPr="000A4B16">
        <w:rPr>
          <w:rFonts w:cstheme="minorHAnsi"/>
          <w:sz w:val="20"/>
          <w:szCs w:val="21"/>
        </w:rPr>
        <w:t>BT</w:t>
      </w:r>
      <w:r w:rsidR="00FC1353" w:rsidRPr="000A4B16">
        <w:rPr>
          <w:rFonts w:cstheme="minorHAnsi"/>
          <w:sz w:val="20"/>
          <w:szCs w:val="21"/>
        </w:rPr>
        <w:t>P</w:t>
      </w:r>
      <w:r w:rsidR="00AD51C8" w:rsidRPr="000A4B16">
        <w:rPr>
          <w:rFonts w:cstheme="minorHAnsi"/>
          <w:sz w:val="20"/>
          <w:szCs w:val="21"/>
        </w:rPr>
        <w:t xml:space="preserve"> enquiry work relating to </w:t>
      </w:r>
      <w:r w:rsidR="00A55127" w:rsidRPr="000A4B16">
        <w:rPr>
          <w:rFonts w:cstheme="minorHAnsi"/>
          <w:sz w:val="20"/>
          <w:szCs w:val="21"/>
        </w:rPr>
        <w:t xml:space="preserve">a </w:t>
      </w:r>
      <w:r w:rsidR="00AD51C8" w:rsidRPr="000A4B16">
        <w:rPr>
          <w:rFonts w:cstheme="minorHAnsi"/>
          <w:sz w:val="20"/>
          <w:szCs w:val="21"/>
        </w:rPr>
        <w:t xml:space="preserve">hotspot </w:t>
      </w:r>
      <w:r w:rsidR="00A55127" w:rsidRPr="000A4B16">
        <w:rPr>
          <w:rFonts w:cstheme="minorHAnsi"/>
          <w:sz w:val="20"/>
          <w:szCs w:val="21"/>
        </w:rPr>
        <w:t>area of</w:t>
      </w:r>
      <w:r w:rsidR="00AD51C8" w:rsidRPr="000A4B16">
        <w:rPr>
          <w:rFonts w:cstheme="minorHAnsi"/>
          <w:sz w:val="20"/>
          <w:szCs w:val="21"/>
        </w:rPr>
        <w:t xml:space="preserve"> </w:t>
      </w:r>
      <w:r w:rsidR="00A55127" w:rsidRPr="000A4B16">
        <w:rPr>
          <w:rFonts w:cstheme="minorHAnsi"/>
          <w:sz w:val="20"/>
          <w:szCs w:val="21"/>
        </w:rPr>
        <w:t xml:space="preserve">the </w:t>
      </w:r>
      <w:r w:rsidR="00AD51C8" w:rsidRPr="000A4B16">
        <w:rPr>
          <w:rFonts w:cstheme="minorHAnsi"/>
          <w:sz w:val="20"/>
          <w:szCs w:val="21"/>
        </w:rPr>
        <w:t xml:space="preserve">Fife circle led to </w:t>
      </w:r>
      <w:r w:rsidR="00FC1353" w:rsidRPr="000A4B16">
        <w:rPr>
          <w:rFonts w:cstheme="minorHAnsi"/>
          <w:sz w:val="20"/>
          <w:szCs w:val="21"/>
        </w:rPr>
        <w:t>1 youth</w:t>
      </w:r>
      <w:r w:rsidR="00AD51C8" w:rsidRPr="000A4B16">
        <w:rPr>
          <w:rFonts w:cstheme="minorHAnsi"/>
          <w:sz w:val="20"/>
          <w:szCs w:val="21"/>
        </w:rPr>
        <w:t xml:space="preserve"> charged with </w:t>
      </w:r>
      <w:r w:rsidR="00FC1353" w:rsidRPr="000A4B16">
        <w:rPr>
          <w:rFonts w:cstheme="minorHAnsi"/>
          <w:sz w:val="20"/>
          <w:szCs w:val="21"/>
        </w:rPr>
        <w:t xml:space="preserve">5 </w:t>
      </w:r>
      <w:r w:rsidR="00AD51C8" w:rsidRPr="000A4B16">
        <w:rPr>
          <w:rFonts w:cstheme="minorHAnsi"/>
          <w:sz w:val="20"/>
          <w:szCs w:val="21"/>
        </w:rPr>
        <w:t xml:space="preserve">separate spittle </w:t>
      </w:r>
      <w:r w:rsidR="00FC1353" w:rsidRPr="000A4B16">
        <w:rPr>
          <w:rFonts w:cstheme="minorHAnsi"/>
          <w:sz w:val="20"/>
          <w:szCs w:val="21"/>
        </w:rPr>
        <w:t>offences</w:t>
      </w:r>
      <w:r w:rsidR="00AD51C8" w:rsidRPr="000A4B16">
        <w:rPr>
          <w:rFonts w:cstheme="minorHAnsi"/>
          <w:sz w:val="20"/>
          <w:szCs w:val="21"/>
        </w:rPr>
        <w:t xml:space="preserve">. Officers continue to liaise with </w:t>
      </w:r>
      <w:r w:rsidR="00FC1353" w:rsidRPr="000A4B16">
        <w:rPr>
          <w:rFonts w:cstheme="minorHAnsi"/>
          <w:sz w:val="20"/>
          <w:szCs w:val="21"/>
        </w:rPr>
        <w:t xml:space="preserve">social work and </w:t>
      </w:r>
      <w:r w:rsidR="00AD51C8" w:rsidRPr="000A4B16">
        <w:rPr>
          <w:rFonts w:cstheme="minorHAnsi"/>
          <w:sz w:val="20"/>
          <w:szCs w:val="21"/>
        </w:rPr>
        <w:t xml:space="preserve">the </w:t>
      </w:r>
      <w:r w:rsidR="00CB3B7D">
        <w:rPr>
          <w:rFonts w:cstheme="minorHAnsi"/>
          <w:sz w:val="20"/>
          <w:szCs w:val="21"/>
        </w:rPr>
        <w:t>Children’s Reporter</w:t>
      </w:r>
      <w:bookmarkStart w:id="3" w:name="_GoBack"/>
      <w:bookmarkEnd w:id="3"/>
      <w:r w:rsidR="00AD51C8" w:rsidRPr="000A4B16">
        <w:rPr>
          <w:rFonts w:cstheme="minorHAnsi"/>
          <w:sz w:val="20"/>
          <w:szCs w:val="21"/>
        </w:rPr>
        <w:t xml:space="preserve"> around the accused.</w:t>
      </w:r>
      <w:r w:rsidR="00FC1353" w:rsidRPr="000A4B16">
        <w:rPr>
          <w:rFonts w:cstheme="minorHAnsi"/>
          <w:sz w:val="20"/>
          <w:szCs w:val="21"/>
        </w:rPr>
        <w:t xml:space="preserve"> Joint working with </w:t>
      </w:r>
      <w:r w:rsidR="00AD51C8" w:rsidRPr="000A4B16">
        <w:rPr>
          <w:rFonts w:cstheme="minorHAnsi"/>
          <w:sz w:val="20"/>
          <w:szCs w:val="21"/>
        </w:rPr>
        <w:t>P</w:t>
      </w:r>
      <w:r w:rsidR="00FC1353" w:rsidRPr="000A4B16">
        <w:rPr>
          <w:rFonts w:cstheme="minorHAnsi"/>
          <w:sz w:val="20"/>
          <w:szCs w:val="21"/>
        </w:rPr>
        <w:t>olice Scotland</w:t>
      </w:r>
      <w:r w:rsidR="00AD51C8" w:rsidRPr="000A4B16">
        <w:rPr>
          <w:rFonts w:cstheme="minorHAnsi"/>
          <w:sz w:val="20"/>
          <w:szCs w:val="21"/>
        </w:rPr>
        <w:t xml:space="preserve"> and ScotRail</w:t>
      </w:r>
      <w:r w:rsidR="00FC1353" w:rsidRPr="000A4B16">
        <w:rPr>
          <w:rFonts w:cstheme="minorHAnsi"/>
          <w:sz w:val="20"/>
          <w:szCs w:val="21"/>
        </w:rPr>
        <w:t xml:space="preserve"> </w:t>
      </w:r>
      <w:r w:rsidR="00A55127" w:rsidRPr="000A4B16">
        <w:rPr>
          <w:rFonts w:cstheme="minorHAnsi"/>
          <w:sz w:val="20"/>
          <w:szCs w:val="21"/>
        </w:rPr>
        <w:t>along with</w:t>
      </w:r>
      <w:r w:rsidR="00FC1353" w:rsidRPr="000A4B16">
        <w:rPr>
          <w:rFonts w:cstheme="minorHAnsi"/>
          <w:sz w:val="20"/>
          <w:szCs w:val="21"/>
        </w:rPr>
        <w:t xml:space="preserve"> enhanced target patrols </w:t>
      </w:r>
      <w:r w:rsidR="00A55127" w:rsidRPr="000A4B16">
        <w:rPr>
          <w:rFonts w:cstheme="minorHAnsi"/>
          <w:sz w:val="20"/>
          <w:szCs w:val="21"/>
        </w:rPr>
        <w:t>at</w:t>
      </w:r>
      <w:r w:rsidR="00AD51C8" w:rsidRPr="000A4B16">
        <w:rPr>
          <w:rFonts w:cstheme="minorHAnsi"/>
          <w:sz w:val="20"/>
          <w:szCs w:val="21"/>
        </w:rPr>
        <w:t xml:space="preserve"> </w:t>
      </w:r>
      <w:r w:rsidR="00FC1353" w:rsidRPr="000A4B16">
        <w:rPr>
          <w:rFonts w:cstheme="minorHAnsi"/>
          <w:sz w:val="20"/>
          <w:szCs w:val="21"/>
        </w:rPr>
        <w:t>weekends has</w:t>
      </w:r>
      <w:r w:rsidR="00AD51C8" w:rsidRPr="000A4B16">
        <w:rPr>
          <w:rFonts w:cstheme="minorHAnsi"/>
          <w:sz w:val="20"/>
          <w:szCs w:val="21"/>
        </w:rPr>
        <w:t xml:space="preserve"> resulted in a reduction of offending and in the </w:t>
      </w:r>
      <w:r w:rsidR="00FC1353" w:rsidRPr="000A4B16">
        <w:rPr>
          <w:rFonts w:cstheme="minorHAnsi"/>
          <w:sz w:val="20"/>
          <w:szCs w:val="21"/>
        </w:rPr>
        <w:t>number of youths travelling on</w:t>
      </w:r>
      <w:r w:rsidR="00AD51C8" w:rsidRPr="000A4B16">
        <w:rPr>
          <w:rFonts w:cstheme="minorHAnsi"/>
          <w:sz w:val="20"/>
          <w:szCs w:val="21"/>
        </w:rPr>
        <w:t xml:space="preserve"> the</w:t>
      </w:r>
      <w:r w:rsidR="00FC1353" w:rsidRPr="000A4B16">
        <w:rPr>
          <w:rFonts w:cstheme="minorHAnsi"/>
          <w:sz w:val="20"/>
          <w:szCs w:val="21"/>
        </w:rPr>
        <w:t xml:space="preserve"> network unchallenged. </w:t>
      </w:r>
      <w:r w:rsidR="00343D88" w:rsidRPr="000A4B16">
        <w:rPr>
          <w:rFonts w:cstheme="minorHAnsi"/>
          <w:sz w:val="20"/>
          <w:szCs w:val="21"/>
        </w:rPr>
        <w:t>A m</w:t>
      </w:r>
      <w:r w:rsidR="00FC1353" w:rsidRPr="000A4B16">
        <w:rPr>
          <w:rFonts w:cstheme="minorHAnsi"/>
          <w:sz w:val="20"/>
          <w:szCs w:val="21"/>
        </w:rPr>
        <w:t xml:space="preserve">edia campaign including engagements with high schools in Fife </w:t>
      </w:r>
      <w:r w:rsidR="00AD51C8" w:rsidRPr="000A4B16">
        <w:rPr>
          <w:rFonts w:cstheme="minorHAnsi"/>
          <w:sz w:val="20"/>
          <w:szCs w:val="21"/>
        </w:rPr>
        <w:t xml:space="preserve">was also conducted </w:t>
      </w:r>
      <w:r w:rsidR="00FC1353" w:rsidRPr="000A4B16">
        <w:rPr>
          <w:rFonts w:cstheme="minorHAnsi"/>
          <w:sz w:val="20"/>
          <w:szCs w:val="21"/>
        </w:rPr>
        <w:t xml:space="preserve">via social media.   </w:t>
      </w:r>
    </w:p>
    <w:p w:rsidR="00FC1353" w:rsidRPr="000A4B16" w:rsidRDefault="00FC1353" w:rsidP="00FC1353">
      <w:pPr>
        <w:spacing w:after="0" w:line="240" w:lineRule="auto"/>
        <w:rPr>
          <w:rFonts w:cstheme="minorHAnsi"/>
          <w:sz w:val="20"/>
          <w:szCs w:val="21"/>
        </w:rPr>
      </w:pPr>
    </w:p>
    <w:p w:rsidR="00343D88" w:rsidRPr="000A4B16" w:rsidRDefault="00343D88" w:rsidP="00343D88">
      <w:pPr>
        <w:jc w:val="both"/>
        <w:rPr>
          <w:rFonts w:cstheme="minorHAnsi"/>
          <w:sz w:val="20"/>
          <w:szCs w:val="21"/>
        </w:rPr>
      </w:pPr>
      <w:r w:rsidRPr="000A4B16">
        <w:rPr>
          <w:rFonts w:cstheme="minorHAnsi"/>
          <w:sz w:val="20"/>
          <w:szCs w:val="21"/>
        </w:rPr>
        <w:t xml:space="preserve">BTP </w:t>
      </w:r>
      <w:r w:rsidR="00541AEB" w:rsidRPr="000A4B16">
        <w:rPr>
          <w:rFonts w:cstheme="minorHAnsi"/>
          <w:sz w:val="20"/>
          <w:szCs w:val="21"/>
        </w:rPr>
        <w:t>continues</w:t>
      </w:r>
      <w:r w:rsidRPr="000A4B16">
        <w:rPr>
          <w:rFonts w:cstheme="minorHAnsi"/>
          <w:sz w:val="20"/>
          <w:szCs w:val="21"/>
        </w:rPr>
        <w:t xml:space="preserve"> to be represented at the Abellio ScotRail Security meeting</w:t>
      </w:r>
      <w:r w:rsidR="00AD51C8" w:rsidRPr="000A4B16">
        <w:rPr>
          <w:rFonts w:cstheme="minorHAnsi"/>
          <w:sz w:val="20"/>
          <w:szCs w:val="21"/>
        </w:rPr>
        <w:t xml:space="preserve"> </w:t>
      </w:r>
      <w:r w:rsidRPr="000A4B16">
        <w:rPr>
          <w:rFonts w:cstheme="minorHAnsi"/>
          <w:sz w:val="20"/>
          <w:szCs w:val="21"/>
        </w:rPr>
        <w:t>(</w:t>
      </w:r>
      <w:r w:rsidR="00AD51C8" w:rsidRPr="000A4B16">
        <w:rPr>
          <w:rFonts w:cstheme="minorHAnsi"/>
          <w:sz w:val="20"/>
          <w:szCs w:val="21"/>
        </w:rPr>
        <w:t xml:space="preserve">held </w:t>
      </w:r>
      <w:r w:rsidRPr="000A4B16">
        <w:rPr>
          <w:rFonts w:cstheme="minorHAnsi"/>
          <w:sz w:val="20"/>
          <w:szCs w:val="21"/>
        </w:rPr>
        <w:t xml:space="preserve">monthly) and the Joint Safety Committee </w:t>
      </w:r>
      <w:r w:rsidR="00541AEB" w:rsidRPr="000A4B16">
        <w:rPr>
          <w:rFonts w:cstheme="minorHAnsi"/>
          <w:sz w:val="20"/>
          <w:szCs w:val="21"/>
        </w:rPr>
        <w:t>(</w:t>
      </w:r>
      <w:r w:rsidR="00AD51C8" w:rsidRPr="000A4B16">
        <w:rPr>
          <w:rFonts w:cstheme="minorHAnsi"/>
          <w:sz w:val="20"/>
          <w:szCs w:val="21"/>
        </w:rPr>
        <w:t xml:space="preserve">held </w:t>
      </w:r>
      <w:r w:rsidR="00541AEB" w:rsidRPr="000A4B16">
        <w:rPr>
          <w:rFonts w:cstheme="minorHAnsi"/>
          <w:sz w:val="20"/>
          <w:szCs w:val="21"/>
        </w:rPr>
        <w:t>Quarterly</w:t>
      </w:r>
      <w:r w:rsidR="00AD51C8" w:rsidRPr="000A4B16">
        <w:rPr>
          <w:rFonts w:cstheme="minorHAnsi"/>
          <w:sz w:val="20"/>
          <w:szCs w:val="21"/>
        </w:rPr>
        <w:t xml:space="preserve"> with the</w:t>
      </w:r>
      <w:r w:rsidR="00541AEB" w:rsidRPr="000A4B16">
        <w:rPr>
          <w:rFonts w:cstheme="minorHAnsi"/>
          <w:sz w:val="20"/>
          <w:szCs w:val="21"/>
        </w:rPr>
        <w:t xml:space="preserve"> </w:t>
      </w:r>
      <w:r w:rsidRPr="000A4B16">
        <w:rPr>
          <w:rFonts w:cstheme="minorHAnsi"/>
          <w:sz w:val="20"/>
          <w:szCs w:val="21"/>
        </w:rPr>
        <w:t>industry and Union</w:t>
      </w:r>
      <w:r w:rsidR="00AD51C8" w:rsidRPr="000A4B16">
        <w:rPr>
          <w:rFonts w:cstheme="minorHAnsi"/>
          <w:sz w:val="20"/>
          <w:szCs w:val="21"/>
        </w:rPr>
        <w:t>s</w:t>
      </w:r>
      <w:r w:rsidRPr="000A4B16">
        <w:rPr>
          <w:rFonts w:cstheme="minorHAnsi"/>
          <w:sz w:val="20"/>
          <w:szCs w:val="21"/>
        </w:rPr>
        <w:t>). This provides a</w:t>
      </w:r>
      <w:r w:rsidR="00AD51C8" w:rsidRPr="000A4B16">
        <w:rPr>
          <w:rFonts w:cstheme="minorHAnsi"/>
          <w:sz w:val="20"/>
          <w:szCs w:val="21"/>
        </w:rPr>
        <w:t xml:space="preserve"> forum for</w:t>
      </w:r>
      <w:r w:rsidRPr="000A4B16">
        <w:rPr>
          <w:rFonts w:cstheme="minorHAnsi"/>
          <w:sz w:val="20"/>
          <w:szCs w:val="21"/>
        </w:rPr>
        <w:t xml:space="preserve"> discuss</w:t>
      </w:r>
      <w:r w:rsidR="00AD51C8" w:rsidRPr="000A4B16">
        <w:rPr>
          <w:rFonts w:cstheme="minorHAnsi"/>
          <w:sz w:val="20"/>
          <w:szCs w:val="21"/>
        </w:rPr>
        <w:t>ion around</w:t>
      </w:r>
      <w:r w:rsidRPr="000A4B16">
        <w:rPr>
          <w:rFonts w:cstheme="minorHAnsi"/>
          <w:sz w:val="20"/>
          <w:szCs w:val="21"/>
        </w:rPr>
        <w:t xml:space="preserve"> emerging trends, </w:t>
      </w:r>
      <w:r w:rsidR="00AD51C8" w:rsidRPr="000A4B16">
        <w:rPr>
          <w:rFonts w:cstheme="minorHAnsi"/>
          <w:sz w:val="20"/>
          <w:szCs w:val="21"/>
        </w:rPr>
        <w:t xml:space="preserve">areas of concerns and </w:t>
      </w:r>
      <w:r w:rsidRPr="000A4B16">
        <w:rPr>
          <w:rFonts w:cstheme="minorHAnsi"/>
          <w:sz w:val="20"/>
          <w:szCs w:val="21"/>
        </w:rPr>
        <w:t>joint working opportunities.</w:t>
      </w:r>
      <w:r w:rsidR="004F452B" w:rsidRPr="000A4B16">
        <w:rPr>
          <w:rFonts w:cstheme="minorHAnsi"/>
          <w:sz w:val="20"/>
          <w:szCs w:val="21"/>
        </w:rPr>
        <w:t xml:space="preserve"> </w:t>
      </w:r>
    </w:p>
    <w:p w:rsidR="008966A5" w:rsidRPr="00130C8D" w:rsidRDefault="008966A5" w:rsidP="00343D88">
      <w:pPr>
        <w:jc w:val="both"/>
        <w:rPr>
          <w:sz w:val="21"/>
          <w:szCs w:val="21"/>
        </w:rPr>
      </w:pPr>
    </w:p>
    <w:p w:rsidR="00651642" w:rsidRPr="00ED1268" w:rsidRDefault="00651642" w:rsidP="008C7640">
      <w:pPr>
        <w:rPr>
          <w:rFonts w:cstheme="minorHAnsi"/>
          <w:b/>
          <w:i/>
          <w:color w:val="1F3864" w:themeColor="accent1" w:themeShade="80"/>
          <w:sz w:val="21"/>
          <w:szCs w:val="21"/>
        </w:rPr>
      </w:pPr>
      <w:bookmarkStart w:id="4" w:name="_Hlk61949867"/>
      <w:r>
        <w:rPr>
          <w:rFonts w:cstheme="minorHAnsi"/>
          <w:b/>
          <w:color w:val="000000"/>
          <w:sz w:val="21"/>
          <w:szCs w:val="21"/>
          <w:u w:val="single"/>
        </w:rPr>
        <w:t xml:space="preserve">Safeguarding </w:t>
      </w:r>
    </w:p>
    <w:bookmarkEnd w:id="4"/>
    <w:p w:rsidR="009477A6" w:rsidRPr="000A4B16" w:rsidRDefault="009477A6" w:rsidP="009477A6">
      <w:pPr>
        <w:rPr>
          <w:rFonts w:cstheme="minorHAnsi"/>
          <w:sz w:val="20"/>
          <w:szCs w:val="21"/>
        </w:rPr>
      </w:pPr>
      <w:r w:rsidRPr="000A4B16">
        <w:rPr>
          <w:rFonts w:cstheme="minorHAnsi"/>
          <w:sz w:val="20"/>
          <w:szCs w:val="21"/>
        </w:rPr>
        <w:t xml:space="preserve">A key focus of BTP is to protect, support and safeguard vulnerable people and those most at risk of harm on the railway. </w:t>
      </w:r>
    </w:p>
    <w:p w:rsidR="008C09B9" w:rsidRPr="000A4B16" w:rsidRDefault="009477A6" w:rsidP="00781148">
      <w:pPr>
        <w:jc w:val="both"/>
        <w:rPr>
          <w:rFonts w:cstheme="minorHAnsi"/>
          <w:sz w:val="20"/>
          <w:szCs w:val="21"/>
        </w:rPr>
      </w:pPr>
      <w:r w:rsidRPr="000A4B16">
        <w:rPr>
          <w:rFonts w:cstheme="minorHAnsi"/>
          <w:sz w:val="20"/>
          <w:szCs w:val="21"/>
        </w:rPr>
        <w:t>Se</w:t>
      </w:r>
      <w:r w:rsidRPr="000A4B16">
        <w:rPr>
          <w:rFonts w:cs="Arial"/>
          <w:sz w:val="20"/>
          <w:szCs w:val="21"/>
        </w:rPr>
        <w:t>rious criminal activity such as County Lines directly impacts on the rail network and vulnerable groups. There has been a</w:t>
      </w:r>
      <w:r w:rsidR="00390423" w:rsidRPr="000A4B16">
        <w:rPr>
          <w:rFonts w:cs="Arial"/>
          <w:sz w:val="20"/>
          <w:szCs w:val="21"/>
        </w:rPr>
        <w:t xml:space="preserve"> notable</w:t>
      </w:r>
      <w:r w:rsidRPr="000A4B16">
        <w:rPr>
          <w:rFonts w:cs="Arial"/>
          <w:sz w:val="20"/>
          <w:szCs w:val="21"/>
        </w:rPr>
        <w:t xml:space="preserve"> increase in County lines disruption throughout 2020-2021 and</w:t>
      </w:r>
      <w:r w:rsidRPr="000A4B16">
        <w:rPr>
          <w:rFonts w:cstheme="minorHAnsi"/>
          <w:sz w:val="20"/>
          <w:szCs w:val="21"/>
        </w:rPr>
        <w:t xml:space="preserve"> seeking out and targeting this type of activity is now part of normal policing for BTP in Scotland</w:t>
      </w:r>
      <w:r w:rsidR="008C09B9" w:rsidRPr="000A4B16">
        <w:rPr>
          <w:rFonts w:cstheme="minorHAnsi"/>
          <w:sz w:val="20"/>
          <w:szCs w:val="21"/>
        </w:rPr>
        <w:t xml:space="preserve">. </w:t>
      </w:r>
      <w:r w:rsidR="00781148" w:rsidRPr="000A4B16">
        <w:rPr>
          <w:rFonts w:cstheme="minorHAnsi"/>
          <w:sz w:val="20"/>
          <w:szCs w:val="21"/>
        </w:rPr>
        <w:t xml:space="preserve">Days of action </w:t>
      </w:r>
      <w:r w:rsidR="00390423" w:rsidRPr="000A4B16">
        <w:rPr>
          <w:rFonts w:cstheme="minorHAnsi"/>
          <w:sz w:val="20"/>
          <w:szCs w:val="21"/>
        </w:rPr>
        <w:t xml:space="preserve">in the </w:t>
      </w:r>
      <w:r w:rsidR="00781148" w:rsidRPr="000A4B16">
        <w:rPr>
          <w:rFonts w:cstheme="minorHAnsi"/>
          <w:sz w:val="20"/>
          <w:szCs w:val="21"/>
        </w:rPr>
        <w:t xml:space="preserve">East </w:t>
      </w:r>
      <w:r w:rsidR="00781148" w:rsidRPr="000A4B16">
        <w:rPr>
          <w:rFonts w:cstheme="minorHAnsi"/>
          <w:color w:val="000000" w:themeColor="text1"/>
          <w:sz w:val="20"/>
          <w:szCs w:val="21"/>
        </w:rPr>
        <w:t>and North ha</w:t>
      </w:r>
      <w:r w:rsidR="00390423" w:rsidRPr="000A4B16">
        <w:rPr>
          <w:rFonts w:cstheme="minorHAnsi"/>
          <w:color w:val="000000" w:themeColor="text1"/>
          <w:sz w:val="20"/>
          <w:szCs w:val="21"/>
        </w:rPr>
        <w:t>ve</w:t>
      </w:r>
      <w:r w:rsidR="00781148" w:rsidRPr="000A4B16">
        <w:rPr>
          <w:rFonts w:cstheme="minorHAnsi"/>
          <w:color w:val="000000" w:themeColor="text1"/>
          <w:sz w:val="20"/>
          <w:szCs w:val="21"/>
        </w:rPr>
        <w:t xml:space="preserve"> provided </w:t>
      </w:r>
      <w:r w:rsidR="00390423" w:rsidRPr="000A4B16">
        <w:rPr>
          <w:rFonts w:cstheme="minorHAnsi"/>
          <w:color w:val="000000" w:themeColor="text1"/>
          <w:sz w:val="20"/>
          <w:szCs w:val="21"/>
        </w:rPr>
        <w:t xml:space="preserve">the </w:t>
      </w:r>
      <w:r w:rsidR="00781148" w:rsidRPr="000A4B16">
        <w:rPr>
          <w:rFonts w:cstheme="minorHAnsi"/>
          <w:color w:val="000000" w:themeColor="text1"/>
          <w:sz w:val="20"/>
          <w:szCs w:val="21"/>
        </w:rPr>
        <w:t xml:space="preserve">opportunity </w:t>
      </w:r>
      <w:r w:rsidR="00390423" w:rsidRPr="000A4B16">
        <w:rPr>
          <w:rFonts w:cstheme="minorHAnsi"/>
          <w:color w:val="000000" w:themeColor="text1"/>
          <w:sz w:val="20"/>
          <w:szCs w:val="21"/>
        </w:rPr>
        <w:t>to</w:t>
      </w:r>
      <w:r w:rsidR="00781148" w:rsidRPr="000A4B16">
        <w:rPr>
          <w:rFonts w:cstheme="minorHAnsi"/>
          <w:color w:val="000000" w:themeColor="text1"/>
          <w:sz w:val="20"/>
          <w:szCs w:val="21"/>
        </w:rPr>
        <w:t xml:space="preserve"> utilise inter-operability policing</w:t>
      </w:r>
      <w:r w:rsidR="00390423" w:rsidRPr="000A4B16">
        <w:rPr>
          <w:rFonts w:cstheme="minorHAnsi"/>
          <w:color w:val="000000" w:themeColor="text1"/>
          <w:sz w:val="20"/>
          <w:szCs w:val="21"/>
        </w:rPr>
        <w:t xml:space="preserve"> methods</w:t>
      </w:r>
      <w:r w:rsidR="00781148" w:rsidRPr="000A4B16">
        <w:rPr>
          <w:rFonts w:cstheme="minorHAnsi"/>
          <w:color w:val="000000" w:themeColor="text1"/>
          <w:sz w:val="20"/>
          <w:szCs w:val="21"/>
        </w:rPr>
        <w:t xml:space="preserve">, with Edinburgh officers and BTP County Lines taskforce working in conjunction with Police Scotland. In Edinburgh, drug detections are up by 218% from </w:t>
      </w:r>
      <w:r w:rsidR="00781148" w:rsidRPr="000A4B16">
        <w:rPr>
          <w:rFonts w:cstheme="minorHAnsi"/>
          <w:color w:val="000000" w:themeColor="text1"/>
          <w:sz w:val="20"/>
          <w:szCs w:val="21"/>
        </w:rPr>
        <w:lastRenderedPageBreak/>
        <w:t>last yea</w:t>
      </w:r>
      <w:r w:rsidR="008C09B9" w:rsidRPr="000A4B16">
        <w:rPr>
          <w:rFonts w:cstheme="minorHAnsi"/>
          <w:color w:val="000000" w:themeColor="text1"/>
          <w:sz w:val="20"/>
          <w:szCs w:val="21"/>
        </w:rPr>
        <w:t>r</w:t>
      </w:r>
      <w:r w:rsidR="00A55127" w:rsidRPr="000A4B16">
        <w:rPr>
          <w:rFonts w:cstheme="minorHAnsi"/>
          <w:color w:val="000000" w:themeColor="text1"/>
          <w:sz w:val="20"/>
          <w:szCs w:val="21"/>
        </w:rPr>
        <w:t>. Proactive searching in North led to a</w:t>
      </w:r>
      <w:r w:rsidR="00781148" w:rsidRPr="000A4B16">
        <w:rPr>
          <w:rFonts w:cstheme="minorHAnsi"/>
          <w:color w:val="000000" w:themeColor="text1"/>
          <w:sz w:val="20"/>
          <w:szCs w:val="21"/>
        </w:rPr>
        <w:t xml:space="preserve"> cash seizure carried out </w:t>
      </w:r>
      <w:r w:rsidR="00781148" w:rsidRPr="00334BF1">
        <w:rPr>
          <w:rFonts w:cstheme="minorHAnsi"/>
          <w:color w:val="000000" w:themeColor="text1"/>
          <w:sz w:val="21"/>
          <w:szCs w:val="21"/>
        </w:rPr>
        <w:t>under the Proceeds of Crime Act (POCA)</w:t>
      </w:r>
      <w:r w:rsidR="008C09B9" w:rsidRPr="00334BF1">
        <w:rPr>
          <w:rFonts w:cstheme="minorHAnsi"/>
          <w:color w:val="000000" w:themeColor="text1"/>
          <w:sz w:val="21"/>
          <w:szCs w:val="21"/>
        </w:rPr>
        <w:t xml:space="preserve"> </w:t>
      </w:r>
      <w:r w:rsidR="008C09B9" w:rsidRPr="000A4B16">
        <w:rPr>
          <w:rFonts w:cstheme="minorHAnsi"/>
          <w:color w:val="000000" w:themeColor="text1"/>
          <w:sz w:val="20"/>
          <w:szCs w:val="21"/>
        </w:rPr>
        <w:t>in December</w:t>
      </w:r>
      <w:r w:rsidR="00781148" w:rsidRPr="000A4B16">
        <w:rPr>
          <w:rFonts w:cstheme="minorHAnsi"/>
          <w:color w:val="000000" w:themeColor="text1"/>
          <w:sz w:val="20"/>
          <w:szCs w:val="21"/>
        </w:rPr>
        <w:t xml:space="preserve">. </w:t>
      </w:r>
      <w:r w:rsidR="00A55127" w:rsidRPr="000A4B16">
        <w:rPr>
          <w:rFonts w:cstheme="minorHAnsi"/>
          <w:color w:val="000000" w:themeColor="text1"/>
          <w:sz w:val="20"/>
          <w:szCs w:val="21"/>
        </w:rPr>
        <w:t xml:space="preserve">Officers also monitor locations and services that may be used as intermediate routes </w:t>
      </w:r>
      <w:r w:rsidR="00334BF1" w:rsidRPr="000A4B16">
        <w:rPr>
          <w:rFonts w:cstheme="minorHAnsi"/>
          <w:color w:val="000000" w:themeColor="text1"/>
          <w:sz w:val="20"/>
          <w:szCs w:val="21"/>
        </w:rPr>
        <w:t xml:space="preserve">for County Liens </w:t>
      </w:r>
      <w:r w:rsidR="00A55127" w:rsidRPr="000A4B16">
        <w:rPr>
          <w:rFonts w:cstheme="minorHAnsi"/>
          <w:color w:val="000000" w:themeColor="text1"/>
          <w:sz w:val="20"/>
          <w:szCs w:val="21"/>
        </w:rPr>
        <w:t>and conduct on train patrols</w:t>
      </w:r>
      <w:r w:rsidR="008C09B9" w:rsidRPr="000A4B16">
        <w:rPr>
          <w:rFonts w:cstheme="minorHAnsi"/>
          <w:color w:val="000000" w:themeColor="text1"/>
          <w:sz w:val="20"/>
          <w:szCs w:val="21"/>
        </w:rPr>
        <w:t xml:space="preserve">. </w:t>
      </w:r>
      <w:r w:rsidR="00781148" w:rsidRPr="000A4B16">
        <w:rPr>
          <w:rFonts w:cstheme="minorHAnsi"/>
          <w:color w:val="000000" w:themeColor="text1"/>
          <w:sz w:val="20"/>
          <w:szCs w:val="21"/>
        </w:rPr>
        <w:t xml:space="preserve">Another week of intensification is </w:t>
      </w:r>
      <w:r w:rsidR="008C09B9" w:rsidRPr="000A4B16">
        <w:rPr>
          <w:rFonts w:cstheme="minorHAnsi"/>
          <w:color w:val="000000" w:themeColor="text1"/>
          <w:sz w:val="20"/>
          <w:szCs w:val="21"/>
        </w:rPr>
        <w:t>due</w:t>
      </w:r>
      <w:r w:rsidR="00781148" w:rsidRPr="000A4B16">
        <w:rPr>
          <w:rFonts w:cstheme="minorHAnsi"/>
          <w:color w:val="000000" w:themeColor="text1"/>
          <w:sz w:val="20"/>
          <w:szCs w:val="21"/>
        </w:rPr>
        <w:t xml:space="preserve"> </w:t>
      </w:r>
      <w:r w:rsidR="008C09B9" w:rsidRPr="000A4B16">
        <w:rPr>
          <w:rFonts w:cstheme="minorHAnsi"/>
          <w:color w:val="000000" w:themeColor="text1"/>
          <w:sz w:val="20"/>
          <w:szCs w:val="21"/>
        </w:rPr>
        <w:t>to take place</w:t>
      </w:r>
      <w:r w:rsidR="00781148" w:rsidRPr="000A4B16">
        <w:rPr>
          <w:rFonts w:cstheme="minorHAnsi"/>
          <w:color w:val="000000" w:themeColor="text1"/>
          <w:sz w:val="20"/>
          <w:szCs w:val="21"/>
        </w:rPr>
        <w:t xml:space="preserve"> </w:t>
      </w:r>
      <w:r w:rsidR="008C09B9" w:rsidRPr="000A4B16">
        <w:rPr>
          <w:rFonts w:cstheme="minorHAnsi"/>
          <w:color w:val="000000" w:themeColor="text1"/>
          <w:sz w:val="20"/>
          <w:szCs w:val="21"/>
        </w:rPr>
        <w:t xml:space="preserve">in </w:t>
      </w:r>
      <w:r w:rsidR="00781148" w:rsidRPr="000A4B16">
        <w:rPr>
          <w:rFonts w:cstheme="minorHAnsi"/>
          <w:color w:val="000000" w:themeColor="text1"/>
          <w:sz w:val="20"/>
          <w:szCs w:val="21"/>
        </w:rPr>
        <w:t>February.</w:t>
      </w:r>
      <w:r w:rsidR="00390423" w:rsidRPr="000A4B16">
        <w:rPr>
          <w:rFonts w:cstheme="minorHAnsi"/>
          <w:sz w:val="20"/>
          <w:szCs w:val="21"/>
        </w:rPr>
        <w:t xml:space="preserve"> </w:t>
      </w:r>
    </w:p>
    <w:p w:rsidR="000D3829" w:rsidRPr="000A4B16" w:rsidRDefault="008C09B9" w:rsidP="000D3829">
      <w:pPr>
        <w:jc w:val="both"/>
        <w:rPr>
          <w:rFonts w:cstheme="minorHAnsi"/>
          <w:sz w:val="20"/>
          <w:szCs w:val="21"/>
        </w:rPr>
      </w:pPr>
      <w:r w:rsidRPr="000A4B16">
        <w:rPr>
          <w:rFonts w:cstheme="minorHAnsi"/>
          <w:color w:val="000000" w:themeColor="text1"/>
          <w:sz w:val="20"/>
          <w:szCs w:val="21"/>
        </w:rPr>
        <w:t xml:space="preserve">With </w:t>
      </w:r>
      <w:r w:rsidR="00781148" w:rsidRPr="000A4B16">
        <w:rPr>
          <w:rFonts w:cstheme="minorHAnsi"/>
          <w:color w:val="000000" w:themeColor="text1"/>
          <w:sz w:val="20"/>
          <w:szCs w:val="21"/>
        </w:rPr>
        <w:t xml:space="preserve">33% of </w:t>
      </w:r>
      <w:r w:rsidR="00390423" w:rsidRPr="000A4B16">
        <w:rPr>
          <w:rFonts w:cstheme="minorHAnsi"/>
          <w:color w:val="000000" w:themeColor="text1"/>
          <w:sz w:val="20"/>
          <w:szCs w:val="21"/>
        </w:rPr>
        <w:t xml:space="preserve">all </w:t>
      </w:r>
      <w:r w:rsidR="00781148" w:rsidRPr="000A4B16">
        <w:rPr>
          <w:rFonts w:cstheme="minorHAnsi"/>
          <w:color w:val="000000" w:themeColor="text1"/>
          <w:sz w:val="20"/>
          <w:szCs w:val="21"/>
        </w:rPr>
        <w:t>incidents (2875) relat</w:t>
      </w:r>
      <w:r w:rsidRPr="000A4B16">
        <w:rPr>
          <w:rFonts w:cstheme="minorHAnsi"/>
          <w:color w:val="000000" w:themeColor="text1"/>
          <w:sz w:val="20"/>
          <w:szCs w:val="21"/>
        </w:rPr>
        <w:t>ing</w:t>
      </w:r>
      <w:r w:rsidR="00781148" w:rsidRPr="000A4B16">
        <w:rPr>
          <w:rFonts w:cstheme="minorHAnsi"/>
          <w:color w:val="000000" w:themeColor="text1"/>
          <w:sz w:val="20"/>
          <w:szCs w:val="21"/>
        </w:rPr>
        <w:t xml:space="preserve"> to </w:t>
      </w:r>
      <w:r w:rsidR="00334BF1" w:rsidRPr="000A4B16">
        <w:rPr>
          <w:rFonts w:cstheme="minorHAnsi"/>
          <w:color w:val="000000" w:themeColor="text1"/>
          <w:sz w:val="20"/>
          <w:szCs w:val="21"/>
        </w:rPr>
        <w:t xml:space="preserve">a </w:t>
      </w:r>
      <w:r w:rsidRPr="000A4B16">
        <w:rPr>
          <w:rFonts w:cstheme="minorHAnsi"/>
          <w:color w:val="000000" w:themeColor="text1"/>
          <w:sz w:val="20"/>
          <w:szCs w:val="21"/>
        </w:rPr>
        <w:t>concern</w:t>
      </w:r>
      <w:r w:rsidR="00334BF1" w:rsidRPr="000A4B16">
        <w:rPr>
          <w:rFonts w:cstheme="minorHAnsi"/>
          <w:color w:val="000000" w:themeColor="text1"/>
          <w:sz w:val="20"/>
          <w:szCs w:val="21"/>
        </w:rPr>
        <w:t xml:space="preserve"> or vulnerability </w:t>
      </w:r>
      <w:r w:rsidRPr="000A4B16">
        <w:rPr>
          <w:rFonts w:cstheme="minorHAnsi"/>
          <w:color w:val="000000" w:themeColor="text1"/>
          <w:sz w:val="20"/>
          <w:szCs w:val="21"/>
        </w:rPr>
        <w:t>of individuals</w:t>
      </w:r>
      <w:r w:rsidR="00390423" w:rsidRPr="000A4B16">
        <w:rPr>
          <w:rFonts w:cstheme="minorHAnsi"/>
          <w:color w:val="000000" w:themeColor="text1"/>
          <w:sz w:val="20"/>
          <w:szCs w:val="21"/>
        </w:rPr>
        <w:t xml:space="preserve"> travelling</w:t>
      </w:r>
      <w:r w:rsidRPr="000A4B16">
        <w:rPr>
          <w:rFonts w:cstheme="minorHAnsi"/>
          <w:color w:val="000000" w:themeColor="text1"/>
          <w:sz w:val="20"/>
          <w:szCs w:val="21"/>
        </w:rPr>
        <w:t xml:space="preserve"> or </w:t>
      </w:r>
      <w:r w:rsidR="00390423" w:rsidRPr="000A4B16">
        <w:rPr>
          <w:rFonts w:cstheme="minorHAnsi"/>
          <w:color w:val="000000" w:themeColor="text1"/>
          <w:sz w:val="20"/>
          <w:szCs w:val="21"/>
        </w:rPr>
        <w:t>potentially presenting on the rail network</w:t>
      </w:r>
      <w:r w:rsidRPr="000A4B16">
        <w:rPr>
          <w:rFonts w:cstheme="minorHAnsi"/>
          <w:color w:val="000000" w:themeColor="text1"/>
          <w:sz w:val="20"/>
          <w:szCs w:val="21"/>
        </w:rPr>
        <w:t>, BTP have made mental health and vulnerability a key operational focus</w:t>
      </w:r>
      <w:r w:rsidR="00A912DE" w:rsidRPr="000A4B16">
        <w:rPr>
          <w:rFonts w:cstheme="minorHAnsi"/>
          <w:color w:val="000000" w:themeColor="text1"/>
          <w:sz w:val="20"/>
          <w:szCs w:val="21"/>
        </w:rPr>
        <w:t>. D</w:t>
      </w:r>
      <w:r w:rsidRPr="000A4B16">
        <w:rPr>
          <w:rFonts w:cstheme="minorHAnsi"/>
          <w:sz w:val="20"/>
          <w:szCs w:val="21"/>
        </w:rPr>
        <w:t xml:space="preserve">edicated, </w:t>
      </w:r>
      <w:r w:rsidR="006D7A89" w:rsidRPr="000A4B16">
        <w:rPr>
          <w:rFonts w:cstheme="minorHAnsi"/>
          <w:sz w:val="20"/>
          <w:szCs w:val="21"/>
        </w:rPr>
        <w:t xml:space="preserve">multi-agency work </w:t>
      </w:r>
      <w:r w:rsidR="00675130" w:rsidRPr="000A4B16">
        <w:rPr>
          <w:rFonts w:cstheme="minorHAnsi"/>
          <w:sz w:val="20"/>
          <w:szCs w:val="21"/>
        </w:rPr>
        <w:t xml:space="preserve">takes place </w:t>
      </w:r>
      <w:r w:rsidRPr="000A4B16">
        <w:rPr>
          <w:rFonts w:cstheme="minorHAnsi"/>
          <w:sz w:val="20"/>
          <w:szCs w:val="21"/>
        </w:rPr>
        <w:t xml:space="preserve">in respect of vulnerable </w:t>
      </w:r>
      <w:r w:rsidR="006D7A89" w:rsidRPr="000A4B16">
        <w:rPr>
          <w:rFonts w:cstheme="minorHAnsi"/>
          <w:sz w:val="20"/>
          <w:szCs w:val="21"/>
        </w:rPr>
        <w:t>individuals</w:t>
      </w:r>
      <w:r w:rsidR="001F6CC5" w:rsidRPr="000A4B16">
        <w:rPr>
          <w:rFonts w:cstheme="minorHAnsi"/>
          <w:sz w:val="20"/>
          <w:szCs w:val="21"/>
        </w:rPr>
        <w:t>. One</w:t>
      </w:r>
      <w:r w:rsidR="006D7A89" w:rsidRPr="000A4B16">
        <w:rPr>
          <w:rFonts w:cstheme="minorHAnsi"/>
          <w:sz w:val="20"/>
          <w:szCs w:val="21"/>
        </w:rPr>
        <w:t xml:space="preserve"> example</w:t>
      </w:r>
      <w:r w:rsidRPr="000A4B16">
        <w:rPr>
          <w:rFonts w:cstheme="minorHAnsi"/>
          <w:sz w:val="20"/>
          <w:szCs w:val="21"/>
        </w:rPr>
        <w:t xml:space="preserve"> is in relation to an</w:t>
      </w:r>
      <w:r w:rsidR="000D3829" w:rsidRPr="000A4B16">
        <w:rPr>
          <w:rFonts w:cstheme="minorHAnsi"/>
          <w:sz w:val="20"/>
          <w:szCs w:val="21"/>
        </w:rPr>
        <w:t xml:space="preserve"> elderly male from Ardrossan who persistently travels all over Scotland and typically presents in a confused manner. Engagement has been made with health care professionals.</w:t>
      </w:r>
      <w:r w:rsidR="006D7A89" w:rsidRPr="000A4B16">
        <w:rPr>
          <w:rFonts w:cstheme="minorHAnsi"/>
          <w:sz w:val="20"/>
          <w:szCs w:val="21"/>
        </w:rPr>
        <w:t xml:space="preserve"> Moreover, BTP sit on a j</w:t>
      </w:r>
      <w:r w:rsidR="000D3829" w:rsidRPr="000A4B16">
        <w:rPr>
          <w:rFonts w:cstheme="minorHAnsi"/>
          <w:sz w:val="20"/>
          <w:szCs w:val="21"/>
        </w:rPr>
        <w:t>oint working group to tackle the welfare of a vulnerable female in the Lochwinnoch area who was consistently putting herself in dangerous situations. The female was recently remanded for breach of bail offences, but BTP continue to engage with Social Work in anticipation of her release.</w:t>
      </w:r>
    </w:p>
    <w:p w:rsidR="008C09B9" w:rsidRPr="000A4B16" w:rsidRDefault="00721B87" w:rsidP="009D4799">
      <w:pPr>
        <w:jc w:val="both"/>
        <w:rPr>
          <w:rFonts w:cstheme="minorHAnsi"/>
          <w:sz w:val="20"/>
          <w:szCs w:val="21"/>
        </w:rPr>
      </w:pPr>
      <w:r w:rsidRPr="000A4B16">
        <w:rPr>
          <w:rFonts w:cstheme="minorHAnsi"/>
          <w:sz w:val="20"/>
          <w:szCs w:val="21"/>
        </w:rPr>
        <w:t>BTP</w:t>
      </w:r>
      <w:r w:rsidR="006D7A89" w:rsidRPr="000A4B16">
        <w:rPr>
          <w:rFonts w:cstheme="minorHAnsi"/>
          <w:sz w:val="20"/>
          <w:szCs w:val="21"/>
        </w:rPr>
        <w:t xml:space="preserve"> </w:t>
      </w:r>
      <w:r w:rsidRPr="000A4B16">
        <w:rPr>
          <w:rFonts w:cstheme="minorHAnsi"/>
          <w:sz w:val="20"/>
          <w:szCs w:val="21"/>
        </w:rPr>
        <w:t>continue to engage with the Samaritans and Network Rail on fatalities through meetings held every 4 weeks.</w:t>
      </w:r>
      <w:r w:rsidRPr="000A4B16">
        <w:rPr>
          <w:sz w:val="20"/>
          <w:szCs w:val="21"/>
        </w:rPr>
        <w:t xml:space="preserve"> </w:t>
      </w:r>
      <w:r w:rsidR="006D7A89" w:rsidRPr="000A4B16">
        <w:rPr>
          <w:sz w:val="20"/>
          <w:szCs w:val="21"/>
        </w:rPr>
        <w:t xml:space="preserve">Also, the </w:t>
      </w:r>
      <w:r w:rsidR="006D7A89" w:rsidRPr="000A4B16">
        <w:rPr>
          <w:rFonts w:cstheme="minorHAnsi"/>
          <w:sz w:val="20"/>
          <w:szCs w:val="21"/>
        </w:rPr>
        <w:t>Vulnerability Unit is currently in the final stages of agreeing a new EPSA (Enhanced Police Service Agreement) with Network Rail to create a new team of officers and police staff to manage High Frequency Presenters (HFPs).</w:t>
      </w:r>
    </w:p>
    <w:p w:rsidR="003973F2" w:rsidRPr="000A4B16" w:rsidRDefault="003973F2" w:rsidP="009D4799">
      <w:pPr>
        <w:jc w:val="both"/>
        <w:rPr>
          <w:rFonts w:cstheme="minorHAnsi"/>
          <w:b/>
          <w:sz w:val="20"/>
          <w:szCs w:val="21"/>
          <w:u w:val="single"/>
        </w:rPr>
      </w:pPr>
    </w:p>
    <w:p w:rsidR="008F48F4" w:rsidRPr="00605429" w:rsidRDefault="002E6891">
      <w:pPr>
        <w:rPr>
          <w:rFonts w:cstheme="minorHAnsi"/>
          <w:b/>
          <w:sz w:val="21"/>
          <w:szCs w:val="21"/>
          <w:u w:val="single"/>
        </w:rPr>
      </w:pPr>
      <w:r w:rsidRPr="00605429">
        <w:rPr>
          <w:rFonts w:cstheme="minorHAnsi"/>
          <w:b/>
          <w:sz w:val="21"/>
          <w:szCs w:val="21"/>
          <w:u w:val="single"/>
        </w:rPr>
        <w:t>Disruption</w:t>
      </w:r>
      <w:r w:rsidR="00343D88" w:rsidRPr="00605429">
        <w:rPr>
          <w:rFonts w:cstheme="minorHAnsi"/>
          <w:b/>
          <w:sz w:val="21"/>
          <w:szCs w:val="21"/>
          <w:u w:val="single"/>
        </w:rPr>
        <w:t xml:space="preserve"> and Trespass</w:t>
      </w:r>
    </w:p>
    <w:p w:rsidR="002E6891" w:rsidRPr="000A4B16" w:rsidRDefault="002E6891" w:rsidP="002E6891">
      <w:pPr>
        <w:rPr>
          <w:rFonts w:cstheme="minorHAnsi"/>
          <w:b/>
          <w:i/>
          <w:color w:val="1F3864" w:themeColor="accent1" w:themeShade="80"/>
          <w:sz w:val="20"/>
          <w:szCs w:val="21"/>
        </w:rPr>
      </w:pPr>
      <w:r w:rsidRPr="000A4B16">
        <w:rPr>
          <w:rFonts w:cstheme="minorHAnsi"/>
          <w:b/>
          <w:i/>
          <w:color w:val="1F3864" w:themeColor="accent1" w:themeShade="80"/>
          <w:sz w:val="20"/>
          <w:szCs w:val="21"/>
        </w:rPr>
        <w:t xml:space="preserve">Local </w:t>
      </w:r>
      <w:r w:rsidR="00541AEB" w:rsidRPr="000A4B16">
        <w:rPr>
          <w:rFonts w:cstheme="minorHAnsi"/>
          <w:b/>
          <w:i/>
          <w:color w:val="1F3864" w:themeColor="accent1" w:themeShade="80"/>
          <w:sz w:val="20"/>
          <w:szCs w:val="21"/>
        </w:rPr>
        <w:t xml:space="preserve">Objective: </w:t>
      </w:r>
      <w:r w:rsidRPr="000A4B16">
        <w:rPr>
          <w:rFonts w:cstheme="minorHAnsi"/>
          <w:b/>
          <w:i/>
          <w:color w:val="1F3864" w:themeColor="accent1" w:themeShade="80"/>
          <w:sz w:val="20"/>
          <w:szCs w:val="21"/>
        </w:rPr>
        <w:t xml:space="preserve"> for D Division is to reduce disruption related incidents through a joint problem-solving approach with industry at key red route locations</w:t>
      </w:r>
      <w:r w:rsidR="00091E35" w:rsidRPr="000A4B16">
        <w:rPr>
          <w:rFonts w:cstheme="minorHAnsi"/>
          <w:b/>
          <w:i/>
          <w:color w:val="1F3864" w:themeColor="accent1" w:themeShade="80"/>
          <w:sz w:val="20"/>
          <w:szCs w:val="21"/>
        </w:rPr>
        <w:t>.</w:t>
      </w:r>
    </w:p>
    <w:p w:rsidR="00541AEB" w:rsidRPr="000A4B16" w:rsidRDefault="00091E35" w:rsidP="00907269">
      <w:pPr>
        <w:jc w:val="both"/>
        <w:rPr>
          <w:rFonts w:cstheme="minorHAnsi"/>
          <w:sz w:val="20"/>
          <w:szCs w:val="21"/>
        </w:rPr>
      </w:pPr>
      <w:r w:rsidRPr="000A4B16">
        <w:rPr>
          <w:rFonts w:cstheme="minorHAnsi"/>
          <w:sz w:val="20"/>
          <w:szCs w:val="21"/>
        </w:rPr>
        <w:t xml:space="preserve">So far in the Performance Year, disruption incidents </w:t>
      </w:r>
      <w:r w:rsidR="00907269" w:rsidRPr="000A4B16">
        <w:rPr>
          <w:rFonts w:cstheme="minorHAnsi"/>
          <w:sz w:val="20"/>
          <w:szCs w:val="21"/>
        </w:rPr>
        <w:t>have reduced by 22%</w:t>
      </w:r>
      <w:r w:rsidR="006B02EA" w:rsidRPr="000A4B16">
        <w:rPr>
          <w:rFonts w:cstheme="minorHAnsi"/>
          <w:sz w:val="20"/>
          <w:szCs w:val="21"/>
        </w:rPr>
        <w:t xml:space="preserve"> and</w:t>
      </w:r>
      <w:r w:rsidR="00907269" w:rsidRPr="000A4B16">
        <w:rPr>
          <w:rFonts w:cstheme="minorHAnsi"/>
          <w:sz w:val="20"/>
          <w:szCs w:val="21"/>
        </w:rPr>
        <w:t xml:space="preserve"> lost minutes </w:t>
      </w:r>
      <w:r w:rsidR="006B02EA" w:rsidRPr="000A4B16">
        <w:rPr>
          <w:rFonts w:cstheme="minorHAnsi"/>
          <w:sz w:val="20"/>
          <w:szCs w:val="21"/>
        </w:rPr>
        <w:t xml:space="preserve">have </w:t>
      </w:r>
      <w:r w:rsidR="00907269" w:rsidRPr="000A4B16">
        <w:rPr>
          <w:rFonts w:cstheme="minorHAnsi"/>
          <w:sz w:val="20"/>
          <w:szCs w:val="21"/>
        </w:rPr>
        <w:t>reduced by 32%.</w:t>
      </w:r>
    </w:p>
    <w:tbl>
      <w:tblPr>
        <w:tblW w:w="6581" w:type="dxa"/>
        <w:jc w:val="center"/>
        <w:tblCellMar>
          <w:left w:w="0" w:type="dxa"/>
          <w:right w:w="0" w:type="dxa"/>
        </w:tblCellMar>
        <w:tblLook w:val="04A0" w:firstRow="1" w:lastRow="0" w:firstColumn="1" w:lastColumn="0" w:noHBand="0" w:noVBand="1"/>
      </w:tblPr>
      <w:tblGrid>
        <w:gridCol w:w="1476"/>
        <w:gridCol w:w="642"/>
        <w:gridCol w:w="699"/>
        <w:gridCol w:w="806"/>
        <w:gridCol w:w="267"/>
        <w:gridCol w:w="969"/>
        <w:gridCol w:w="779"/>
        <w:gridCol w:w="943"/>
      </w:tblGrid>
      <w:tr w:rsidR="00541AEB" w:rsidTr="00541AEB">
        <w:trPr>
          <w:trHeight w:val="128"/>
          <w:jc w:val="center"/>
        </w:trPr>
        <w:tc>
          <w:tcPr>
            <w:tcW w:w="1476" w:type="dxa"/>
            <w:vMerge w:val="restart"/>
            <w:tcBorders>
              <w:top w:val="single" w:sz="8" w:space="0" w:color="000000"/>
              <w:left w:val="single" w:sz="8" w:space="0" w:color="000000"/>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color w:val="FFFFFF" w:themeColor="background1"/>
                <w:sz w:val="16"/>
                <w:szCs w:val="36"/>
              </w:rPr>
            </w:pPr>
            <w:r w:rsidRPr="000C21CE">
              <w:rPr>
                <w:b/>
                <w:bCs/>
                <w:color w:val="FFFFFF" w:themeColor="background1"/>
                <w:sz w:val="16"/>
                <w:szCs w:val="16"/>
              </w:rPr>
              <w:t>Category</w:t>
            </w:r>
          </w:p>
        </w:tc>
        <w:tc>
          <w:tcPr>
            <w:tcW w:w="2147" w:type="dxa"/>
            <w:gridSpan w:val="3"/>
            <w:tcBorders>
              <w:top w:val="single" w:sz="8" w:space="0" w:color="000000"/>
              <w:left w:val="nil"/>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color w:val="FFFFFF" w:themeColor="background1"/>
                <w:sz w:val="16"/>
                <w:szCs w:val="36"/>
              </w:rPr>
            </w:pPr>
            <w:r w:rsidRPr="000C21CE">
              <w:rPr>
                <w:b/>
                <w:bCs/>
                <w:color w:val="FFFFFF" w:themeColor="background1"/>
                <w:sz w:val="16"/>
                <w:szCs w:val="16"/>
              </w:rPr>
              <w:t>Incidents</w:t>
            </w:r>
          </w:p>
        </w:tc>
        <w:tc>
          <w:tcPr>
            <w:tcW w:w="267" w:type="dxa"/>
            <w:tcBorders>
              <w:top w:val="single" w:sz="8" w:space="0" w:color="000000"/>
              <w:left w:val="nil"/>
              <w:bottom w:val="nil"/>
              <w:right w:val="single" w:sz="8" w:space="0" w:color="000000"/>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b/>
                <w:bCs/>
                <w:color w:val="000000"/>
                <w:sz w:val="16"/>
                <w:szCs w:val="16"/>
              </w:rPr>
              <w:t> </w:t>
            </w:r>
          </w:p>
        </w:tc>
        <w:tc>
          <w:tcPr>
            <w:tcW w:w="2691" w:type="dxa"/>
            <w:gridSpan w:val="3"/>
            <w:tcBorders>
              <w:top w:val="single" w:sz="8" w:space="0" w:color="000000"/>
              <w:left w:val="nil"/>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color w:val="FFFFFF" w:themeColor="background1"/>
                <w:sz w:val="16"/>
                <w:szCs w:val="36"/>
              </w:rPr>
            </w:pPr>
            <w:r w:rsidRPr="000C21CE">
              <w:rPr>
                <w:b/>
                <w:bCs/>
                <w:color w:val="FFFFFF" w:themeColor="background1"/>
                <w:sz w:val="16"/>
                <w:szCs w:val="16"/>
              </w:rPr>
              <w:t>Lost Minutes</w:t>
            </w:r>
          </w:p>
        </w:tc>
      </w:tr>
      <w:tr w:rsidR="00944E01" w:rsidTr="00541AEB">
        <w:trPr>
          <w:trHeight w:val="120"/>
          <w:jc w:val="center"/>
        </w:trPr>
        <w:tc>
          <w:tcPr>
            <w:tcW w:w="1476" w:type="dxa"/>
            <w:vMerge/>
            <w:tcBorders>
              <w:top w:val="single" w:sz="8" w:space="0" w:color="000000"/>
              <w:left w:val="single" w:sz="8" w:space="0" w:color="000000"/>
              <w:bottom w:val="single" w:sz="8" w:space="0" w:color="000000"/>
              <w:right w:val="single" w:sz="8" w:space="0" w:color="000000"/>
            </w:tcBorders>
            <w:shd w:val="clear" w:color="auto" w:fill="1F3864" w:themeFill="accent1" w:themeFillShade="80"/>
            <w:vAlign w:val="center"/>
            <w:hideMark/>
          </w:tcPr>
          <w:p w:rsidR="00944E01" w:rsidRPr="000C21CE" w:rsidRDefault="00944E01">
            <w:pPr>
              <w:rPr>
                <w:rFonts w:ascii="Arial" w:hAnsi="Arial" w:cs="Arial"/>
                <w:color w:val="FFFFFF" w:themeColor="background1"/>
                <w:sz w:val="16"/>
                <w:szCs w:val="36"/>
              </w:rPr>
            </w:pPr>
          </w:p>
        </w:tc>
        <w:tc>
          <w:tcPr>
            <w:tcW w:w="642" w:type="dxa"/>
            <w:tcBorders>
              <w:top w:val="nil"/>
              <w:left w:val="nil"/>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color w:val="FFFFFF" w:themeColor="background1"/>
                <w:sz w:val="16"/>
                <w:szCs w:val="36"/>
              </w:rPr>
            </w:pPr>
            <w:r w:rsidRPr="000C21CE">
              <w:rPr>
                <w:b/>
                <w:bCs/>
                <w:color w:val="FFFFFF" w:themeColor="background1"/>
                <w:sz w:val="16"/>
                <w:szCs w:val="16"/>
              </w:rPr>
              <w:t>Previous YTD</w:t>
            </w:r>
          </w:p>
        </w:tc>
        <w:tc>
          <w:tcPr>
            <w:tcW w:w="699" w:type="dxa"/>
            <w:tcBorders>
              <w:top w:val="nil"/>
              <w:left w:val="nil"/>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color w:val="FFFFFF" w:themeColor="background1"/>
                <w:sz w:val="16"/>
                <w:szCs w:val="36"/>
              </w:rPr>
            </w:pPr>
            <w:r w:rsidRPr="000C21CE">
              <w:rPr>
                <w:b/>
                <w:bCs/>
                <w:color w:val="FFFFFF" w:themeColor="background1"/>
                <w:sz w:val="16"/>
                <w:szCs w:val="16"/>
              </w:rPr>
              <w:t>Current YTD</w:t>
            </w:r>
          </w:p>
        </w:tc>
        <w:tc>
          <w:tcPr>
            <w:tcW w:w="805" w:type="dxa"/>
            <w:tcBorders>
              <w:top w:val="nil"/>
              <w:left w:val="nil"/>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color w:val="FFFFFF" w:themeColor="background1"/>
                <w:sz w:val="16"/>
                <w:szCs w:val="36"/>
              </w:rPr>
            </w:pPr>
            <w:r w:rsidRPr="000C21CE">
              <w:rPr>
                <w:b/>
                <w:bCs/>
                <w:color w:val="FFFFFF" w:themeColor="background1"/>
                <w:sz w:val="16"/>
                <w:szCs w:val="16"/>
              </w:rPr>
              <w:t>Difference</w:t>
            </w:r>
          </w:p>
        </w:tc>
        <w:tc>
          <w:tcPr>
            <w:tcW w:w="267"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b/>
                <w:bCs/>
                <w:color w:val="000000"/>
                <w:sz w:val="16"/>
                <w:szCs w:val="16"/>
              </w:rPr>
              <w:t> </w:t>
            </w:r>
          </w:p>
        </w:tc>
        <w:tc>
          <w:tcPr>
            <w:tcW w:w="969" w:type="dxa"/>
            <w:tcBorders>
              <w:top w:val="nil"/>
              <w:left w:val="nil"/>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b/>
                <w:bCs/>
                <w:color w:val="FFFFFF" w:themeColor="background1"/>
                <w:sz w:val="16"/>
                <w:szCs w:val="16"/>
              </w:rPr>
              <w:t>Previous YTD</w:t>
            </w:r>
          </w:p>
        </w:tc>
        <w:tc>
          <w:tcPr>
            <w:tcW w:w="779" w:type="dxa"/>
            <w:tcBorders>
              <w:top w:val="single" w:sz="8" w:space="0" w:color="000000"/>
              <w:left w:val="nil"/>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color w:val="FFFFFF" w:themeColor="background1"/>
                <w:sz w:val="16"/>
                <w:szCs w:val="36"/>
              </w:rPr>
            </w:pPr>
            <w:r w:rsidRPr="000C21CE">
              <w:rPr>
                <w:b/>
                <w:bCs/>
                <w:color w:val="FFFFFF" w:themeColor="background1"/>
                <w:sz w:val="16"/>
                <w:szCs w:val="16"/>
              </w:rPr>
              <w:t>Current YTD</w:t>
            </w:r>
          </w:p>
        </w:tc>
        <w:tc>
          <w:tcPr>
            <w:tcW w:w="942" w:type="dxa"/>
            <w:tcBorders>
              <w:top w:val="single" w:sz="8" w:space="0" w:color="000000"/>
              <w:left w:val="nil"/>
              <w:bottom w:val="single" w:sz="8" w:space="0" w:color="000000"/>
              <w:right w:val="single" w:sz="8" w:space="0" w:color="000000"/>
            </w:tcBorders>
            <w:shd w:val="clear" w:color="auto" w:fill="1F3864" w:themeFill="accent1" w:themeFillShade="80"/>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color w:val="FFFFFF" w:themeColor="background1"/>
                <w:sz w:val="16"/>
                <w:szCs w:val="36"/>
              </w:rPr>
            </w:pPr>
            <w:r w:rsidRPr="000C21CE">
              <w:rPr>
                <w:b/>
                <w:bCs/>
                <w:color w:val="FFFFFF" w:themeColor="background1"/>
                <w:sz w:val="16"/>
                <w:szCs w:val="16"/>
              </w:rPr>
              <w:t>Difference</w:t>
            </w:r>
          </w:p>
        </w:tc>
      </w:tr>
      <w:tr w:rsidR="00541AEB" w:rsidTr="00541AEB">
        <w:trPr>
          <w:trHeight w:val="63"/>
          <w:jc w:val="center"/>
        </w:trPr>
        <w:tc>
          <w:tcPr>
            <w:tcW w:w="1476"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Cable Theft</w:t>
            </w:r>
          </w:p>
        </w:tc>
        <w:tc>
          <w:tcPr>
            <w:tcW w:w="6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2</w:t>
            </w:r>
          </w:p>
        </w:tc>
        <w:tc>
          <w:tcPr>
            <w:tcW w:w="69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0</w:t>
            </w:r>
          </w:p>
        </w:tc>
        <w:tc>
          <w:tcPr>
            <w:tcW w:w="805"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-100%</w:t>
            </w:r>
          </w:p>
        </w:tc>
        <w:tc>
          <w:tcPr>
            <w:tcW w:w="267"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 </w:t>
            </w:r>
          </w:p>
        </w:tc>
        <w:tc>
          <w:tcPr>
            <w:tcW w:w="96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813</w:t>
            </w:r>
          </w:p>
        </w:tc>
        <w:tc>
          <w:tcPr>
            <w:tcW w:w="77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0</w:t>
            </w:r>
          </w:p>
        </w:tc>
        <w:tc>
          <w:tcPr>
            <w:tcW w:w="9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-100%</w:t>
            </w:r>
          </w:p>
        </w:tc>
      </w:tr>
      <w:tr w:rsidR="00541AEB" w:rsidTr="00541AEB">
        <w:trPr>
          <w:trHeight w:val="63"/>
          <w:jc w:val="center"/>
        </w:trPr>
        <w:tc>
          <w:tcPr>
            <w:tcW w:w="1476"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Disorder/Drunks</w:t>
            </w:r>
          </w:p>
        </w:tc>
        <w:tc>
          <w:tcPr>
            <w:tcW w:w="6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723</w:t>
            </w:r>
          </w:p>
        </w:tc>
        <w:tc>
          <w:tcPr>
            <w:tcW w:w="69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427</w:t>
            </w:r>
          </w:p>
        </w:tc>
        <w:tc>
          <w:tcPr>
            <w:tcW w:w="805"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-41%</w:t>
            </w:r>
          </w:p>
        </w:tc>
        <w:tc>
          <w:tcPr>
            <w:tcW w:w="267"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 </w:t>
            </w:r>
          </w:p>
        </w:tc>
        <w:tc>
          <w:tcPr>
            <w:tcW w:w="96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12,555</w:t>
            </w:r>
          </w:p>
        </w:tc>
        <w:tc>
          <w:tcPr>
            <w:tcW w:w="77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6,184</w:t>
            </w:r>
          </w:p>
        </w:tc>
        <w:tc>
          <w:tcPr>
            <w:tcW w:w="9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-51%</w:t>
            </w:r>
          </w:p>
        </w:tc>
      </w:tr>
      <w:tr w:rsidR="00541AEB" w:rsidTr="00541AEB">
        <w:trPr>
          <w:trHeight w:val="63"/>
          <w:jc w:val="center"/>
        </w:trPr>
        <w:tc>
          <w:tcPr>
            <w:tcW w:w="1476"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Fatalities</w:t>
            </w:r>
          </w:p>
        </w:tc>
        <w:tc>
          <w:tcPr>
            <w:tcW w:w="6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18</w:t>
            </w:r>
          </w:p>
        </w:tc>
        <w:tc>
          <w:tcPr>
            <w:tcW w:w="69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24</w:t>
            </w:r>
          </w:p>
        </w:tc>
        <w:tc>
          <w:tcPr>
            <w:tcW w:w="805"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+33%</w:t>
            </w:r>
          </w:p>
        </w:tc>
        <w:tc>
          <w:tcPr>
            <w:tcW w:w="267"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 </w:t>
            </w:r>
          </w:p>
        </w:tc>
        <w:tc>
          <w:tcPr>
            <w:tcW w:w="96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8,957</w:t>
            </w:r>
          </w:p>
        </w:tc>
        <w:tc>
          <w:tcPr>
            <w:tcW w:w="77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6,109</w:t>
            </w:r>
          </w:p>
        </w:tc>
        <w:tc>
          <w:tcPr>
            <w:tcW w:w="9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-32%</w:t>
            </w:r>
          </w:p>
        </w:tc>
      </w:tr>
      <w:tr w:rsidR="00541AEB" w:rsidTr="00541AEB">
        <w:trPr>
          <w:trHeight w:val="63"/>
          <w:jc w:val="center"/>
        </w:trPr>
        <w:tc>
          <w:tcPr>
            <w:tcW w:w="1476"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Level Crossing</w:t>
            </w:r>
          </w:p>
        </w:tc>
        <w:tc>
          <w:tcPr>
            <w:tcW w:w="6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120</w:t>
            </w:r>
          </w:p>
        </w:tc>
        <w:tc>
          <w:tcPr>
            <w:tcW w:w="69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102</w:t>
            </w:r>
          </w:p>
        </w:tc>
        <w:tc>
          <w:tcPr>
            <w:tcW w:w="805"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-15%</w:t>
            </w:r>
          </w:p>
        </w:tc>
        <w:tc>
          <w:tcPr>
            <w:tcW w:w="267"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 </w:t>
            </w:r>
          </w:p>
        </w:tc>
        <w:tc>
          <w:tcPr>
            <w:tcW w:w="96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2,528</w:t>
            </w:r>
          </w:p>
        </w:tc>
        <w:tc>
          <w:tcPr>
            <w:tcW w:w="77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2,012</w:t>
            </w:r>
          </w:p>
        </w:tc>
        <w:tc>
          <w:tcPr>
            <w:tcW w:w="9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-20%</w:t>
            </w:r>
          </w:p>
        </w:tc>
      </w:tr>
      <w:tr w:rsidR="00541AEB" w:rsidTr="00541AEB">
        <w:trPr>
          <w:trHeight w:val="63"/>
          <w:jc w:val="center"/>
        </w:trPr>
        <w:tc>
          <w:tcPr>
            <w:tcW w:w="1476"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Trespass</w:t>
            </w:r>
          </w:p>
        </w:tc>
        <w:tc>
          <w:tcPr>
            <w:tcW w:w="6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564</w:t>
            </w:r>
          </w:p>
        </w:tc>
        <w:tc>
          <w:tcPr>
            <w:tcW w:w="69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573</w:t>
            </w:r>
          </w:p>
        </w:tc>
        <w:tc>
          <w:tcPr>
            <w:tcW w:w="805"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-2%</w:t>
            </w:r>
          </w:p>
        </w:tc>
        <w:tc>
          <w:tcPr>
            <w:tcW w:w="267"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 </w:t>
            </w:r>
          </w:p>
        </w:tc>
        <w:tc>
          <w:tcPr>
            <w:tcW w:w="96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24,680</w:t>
            </w:r>
          </w:p>
        </w:tc>
        <w:tc>
          <w:tcPr>
            <w:tcW w:w="779"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20,059</w:t>
            </w:r>
          </w:p>
        </w:tc>
        <w:tc>
          <w:tcPr>
            <w:tcW w:w="942" w:type="dxa"/>
            <w:tcBorders>
              <w:top w:val="nil"/>
              <w:left w:val="nil"/>
              <w:bottom w:val="single" w:sz="8" w:space="0" w:color="000000"/>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-19%</w:t>
            </w:r>
          </w:p>
        </w:tc>
      </w:tr>
      <w:tr w:rsidR="00541AEB" w:rsidTr="00541AEB">
        <w:trPr>
          <w:trHeight w:val="63"/>
          <w:jc w:val="center"/>
        </w:trPr>
        <w:tc>
          <w:tcPr>
            <w:tcW w:w="1476" w:type="dxa"/>
            <w:tcBorders>
              <w:top w:val="nil"/>
              <w:left w:val="single" w:sz="8" w:space="0" w:color="000000"/>
              <w:bottom w:val="single" w:sz="18" w:space="0" w:color="auto"/>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Vandalism</w:t>
            </w:r>
            <w:r w:rsidR="000C21CE">
              <w:rPr>
                <w:color w:val="000000"/>
                <w:sz w:val="16"/>
                <w:szCs w:val="16"/>
              </w:rPr>
              <w:t xml:space="preserve"> / </w:t>
            </w:r>
            <w:r w:rsidRPr="000C21CE">
              <w:rPr>
                <w:color w:val="000000"/>
                <w:sz w:val="16"/>
                <w:szCs w:val="16"/>
              </w:rPr>
              <w:t>Theft</w:t>
            </w:r>
          </w:p>
        </w:tc>
        <w:tc>
          <w:tcPr>
            <w:tcW w:w="642" w:type="dxa"/>
            <w:tcBorders>
              <w:top w:val="nil"/>
              <w:left w:val="nil"/>
              <w:bottom w:val="single" w:sz="18" w:space="0" w:color="auto"/>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185</w:t>
            </w:r>
          </w:p>
        </w:tc>
        <w:tc>
          <w:tcPr>
            <w:tcW w:w="699" w:type="dxa"/>
            <w:tcBorders>
              <w:top w:val="nil"/>
              <w:left w:val="nil"/>
              <w:bottom w:val="single" w:sz="18" w:space="0" w:color="auto"/>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129</w:t>
            </w:r>
          </w:p>
        </w:tc>
        <w:tc>
          <w:tcPr>
            <w:tcW w:w="805" w:type="dxa"/>
            <w:tcBorders>
              <w:top w:val="nil"/>
              <w:left w:val="nil"/>
              <w:bottom w:val="single" w:sz="18" w:space="0" w:color="auto"/>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-30%</w:t>
            </w:r>
          </w:p>
        </w:tc>
        <w:tc>
          <w:tcPr>
            <w:tcW w:w="267"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 </w:t>
            </w:r>
          </w:p>
        </w:tc>
        <w:tc>
          <w:tcPr>
            <w:tcW w:w="969" w:type="dxa"/>
            <w:tcBorders>
              <w:top w:val="nil"/>
              <w:left w:val="nil"/>
              <w:bottom w:val="single" w:sz="18" w:space="0" w:color="auto"/>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4,492</w:t>
            </w:r>
          </w:p>
        </w:tc>
        <w:tc>
          <w:tcPr>
            <w:tcW w:w="779" w:type="dxa"/>
            <w:tcBorders>
              <w:top w:val="nil"/>
              <w:left w:val="nil"/>
              <w:bottom w:val="single" w:sz="18" w:space="0" w:color="auto"/>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2,510</w:t>
            </w:r>
          </w:p>
        </w:tc>
        <w:tc>
          <w:tcPr>
            <w:tcW w:w="942" w:type="dxa"/>
            <w:tcBorders>
              <w:top w:val="nil"/>
              <w:left w:val="nil"/>
              <w:bottom w:val="single" w:sz="18" w:space="0" w:color="auto"/>
              <w:right w:val="single" w:sz="8" w:space="0" w:color="000000"/>
            </w:tcBorders>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-44%</w:t>
            </w:r>
          </w:p>
        </w:tc>
      </w:tr>
      <w:tr w:rsidR="00541AEB" w:rsidTr="00541AEB">
        <w:trPr>
          <w:trHeight w:val="63"/>
          <w:jc w:val="center"/>
        </w:trPr>
        <w:tc>
          <w:tcPr>
            <w:tcW w:w="1476" w:type="dxa"/>
            <w:tcBorders>
              <w:top w:val="single" w:sz="18" w:space="0" w:color="auto"/>
              <w:left w:val="single" w:sz="18" w:space="0" w:color="auto"/>
              <w:bottom w:val="single" w:sz="18" w:space="0" w:color="auto"/>
              <w:right w:val="single" w:sz="8" w:space="0" w:color="000000"/>
            </w:tcBorders>
            <w:shd w:val="clear" w:color="auto" w:fill="D5DCE4" w:themeFill="text2" w:themeFillTint="33"/>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b/>
                <w:bCs/>
                <w:color w:val="000000"/>
                <w:sz w:val="16"/>
                <w:szCs w:val="16"/>
              </w:rPr>
              <w:t>TOTAL</w:t>
            </w:r>
          </w:p>
        </w:tc>
        <w:tc>
          <w:tcPr>
            <w:tcW w:w="642" w:type="dxa"/>
            <w:tcBorders>
              <w:top w:val="single" w:sz="18" w:space="0" w:color="auto"/>
              <w:left w:val="nil"/>
              <w:bottom w:val="single" w:sz="18" w:space="0" w:color="auto"/>
              <w:right w:val="single" w:sz="8" w:space="0" w:color="000000"/>
            </w:tcBorders>
            <w:shd w:val="clear" w:color="auto" w:fill="D5DCE4" w:themeFill="text2" w:themeFillTint="33"/>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sz w:val="16"/>
                <w:szCs w:val="36"/>
              </w:rPr>
            </w:pPr>
            <w:r w:rsidRPr="000C21CE">
              <w:rPr>
                <w:b/>
                <w:color w:val="000000"/>
                <w:sz w:val="16"/>
                <w:szCs w:val="16"/>
              </w:rPr>
              <w:t>1,612</w:t>
            </w:r>
          </w:p>
        </w:tc>
        <w:tc>
          <w:tcPr>
            <w:tcW w:w="699" w:type="dxa"/>
            <w:tcBorders>
              <w:top w:val="single" w:sz="18" w:space="0" w:color="auto"/>
              <w:left w:val="nil"/>
              <w:bottom w:val="single" w:sz="18" w:space="0" w:color="auto"/>
              <w:right w:val="single" w:sz="8" w:space="0" w:color="000000"/>
            </w:tcBorders>
            <w:shd w:val="clear" w:color="auto" w:fill="D5DCE4" w:themeFill="text2" w:themeFillTint="33"/>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sz w:val="16"/>
                <w:szCs w:val="36"/>
              </w:rPr>
            </w:pPr>
            <w:r w:rsidRPr="000C21CE">
              <w:rPr>
                <w:b/>
                <w:color w:val="000000"/>
                <w:sz w:val="16"/>
                <w:szCs w:val="16"/>
              </w:rPr>
              <w:t>1,255</w:t>
            </w:r>
          </w:p>
        </w:tc>
        <w:tc>
          <w:tcPr>
            <w:tcW w:w="805" w:type="dxa"/>
            <w:tcBorders>
              <w:top w:val="single" w:sz="18" w:space="0" w:color="auto"/>
              <w:left w:val="nil"/>
              <w:bottom w:val="single" w:sz="18" w:space="0" w:color="auto"/>
              <w:right w:val="single" w:sz="18" w:space="0" w:color="auto"/>
            </w:tcBorders>
            <w:shd w:val="clear" w:color="auto" w:fill="D5DCE4" w:themeFill="text2" w:themeFillTint="33"/>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-22%</w:t>
            </w:r>
          </w:p>
        </w:tc>
        <w:tc>
          <w:tcPr>
            <w:tcW w:w="267" w:type="dxa"/>
            <w:tcBorders>
              <w:top w:val="nil"/>
              <w:left w:val="single" w:sz="18" w:space="0" w:color="auto"/>
              <w:bottom w:val="single" w:sz="8" w:space="0" w:color="000000"/>
              <w:right w:val="single" w:sz="18" w:space="0" w:color="auto"/>
            </w:tcBorders>
            <w:shd w:val="clear" w:color="auto" w:fill="FFFFFF" w:themeFill="background1"/>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sz w:val="16"/>
                <w:szCs w:val="36"/>
              </w:rPr>
            </w:pPr>
            <w:r w:rsidRPr="000C21CE">
              <w:rPr>
                <w:color w:val="000000"/>
                <w:sz w:val="16"/>
                <w:szCs w:val="16"/>
              </w:rPr>
              <w:t> </w:t>
            </w:r>
          </w:p>
        </w:tc>
        <w:tc>
          <w:tcPr>
            <w:tcW w:w="969" w:type="dxa"/>
            <w:tcBorders>
              <w:top w:val="single" w:sz="18" w:space="0" w:color="auto"/>
              <w:left w:val="single" w:sz="18" w:space="0" w:color="auto"/>
              <w:bottom w:val="single" w:sz="18" w:space="0" w:color="auto"/>
              <w:right w:val="single" w:sz="8" w:space="0" w:color="000000"/>
            </w:tcBorders>
            <w:shd w:val="clear" w:color="auto" w:fill="D5DCE4" w:themeFill="text2" w:themeFillTint="33"/>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sz w:val="16"/>
                <w:szCs w:val="36"/>
              </w:rPr>
            </w:pPr>
            <w:r w:rsidRPr="000C21CE">
              <w:rPr>
                <w:b/>
                <w:color w:val="000000"/>
                <w:sz w:val="16"/>
                <w:szCs w:val="16"/>
              </w:rPr>
              <w:t>54,025</w:t>
            </w:r>
          </w:p>
        </w:tc>
        <w:tc>
          <w:tcPr>
            <w:tcW w:w="779" w:type="dxa"/>
            <w:tcBorders>
              <w:top w:val="single" w:sz="18" w:space="0" w:color="auto"/>
              <w:left w:val="nil"/>
              <w:bottom w:val="single" w:sz="18" w:space="0" w:color="auto"/>
              <w:right w:val="single" w:sz="8" w:space="0" w:color="000000"/>
            </w:tcBorders>
            <w:shd w:val="clear" w:color="auto" w:fill="D5DCE4" w:themeFill="text2" w:themeFillTint="33"/>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sz w:val="16"/>
                <w:szCs w:val="36"/>
              </w:rPr>
            </w:pPr>
            <w:r w:rsidRPr="000C21CE">
              <w:rPr>
                <w:b/>
                <w:color w:val="000000"/>
                <w:sz w:val="16"/>
                <w:szCs w:val="16"/>
              </w:rPr>
              <w:t>36,874</w:t>
            </w:r>
          </w:p>
        </w:tc>
        <w:tc>
          <w:tcPr>
            <w:tcW w:w="942" w:type="dxa"/>
            <w:tcBorders>
              <w:top w:val="single" w:sz="18" w:space="0" w:color="auto"/>
              <w:left w:val="nil"/>
              <w:bottom w:val="single" w:sz="18" w:space="0" w:color="auto"/>
              <w:right w:val="single" w:sz="18" w:space="0" w:color="auto"/>
            </w:tcBorders>
            <w:shd w:val="clear" w:color="auto" w:fill="D5DCE4" w:themeFill="text2" w:themeFillTint="33"/>
            <w:tcMar>
              <w:top w:w="15" w:type="dxa"/>
              <w:left w:w="15" w:type="dxa"/>
              <w:bottom w:w="0" w:type="dxa"/>
              <w:right w:w="15" w:type="dxa"/>
            </w:tcMar>
            <w:vAlign w:val="bottom"/>
            <w:hideMark/>
          </w:tcPr>
          <w:p w:rsidR="00944E01" w:rsidRPr="000C21CE" w:rsidRDefault="00944E01">
            <w:pPr>
              <w:jc w:val="center"/>
              <w:textAlignment w:val="bottom"/>
              <w:rPr>
                <w:rFonts w:ascii="Arial" w:hAnsi="Arial" w:cs="Arial"/>
                <w:b/>
                <w:color w:val="000000" w:themeColor="text1"/>
                <w:sz w:val="16"/>
                <w:szCs w:val="36"/>
              </w:rPr>
            </w:pPr>
            <w:r w:rsidRPr="000C21CE">
              <w:rPr>
                <w:b/>
                <w:color w:val="000000" w:themeColor="text1"/>
                <w:sz w:val="16"/>
                <w:szCs w:val="16"/>
              </w:rPr>
              <w:t>-32%</w:t>
            </w:r>
          </w:p>
        </w:tc>
      </w:tr>
    </w:tbl>
    <w:p w:rsidR="00944E01" w:rsidRPr="00AF410C" w:rsidRDefault="00944E01">
      <w:pPr>
        <w:rPr>
          <w:rFonts w:cstheme="minorHAnsi"/>
          <w:sz w:val="21"/>
          <w:szCs w:val="21"/>
        </w:rPr>
      </w:pPr>
    </w:p>
    <w:p w:rsidR="0093448B" w:rsidRPr="000A4B16" w:rsidRDefault="000774CB" w:rsidP="007E4893">
      <w:pPr>
        <w:jc w:val="both"/>
        <w:rPr>
          <w:rFonts w:cstheme="minorHAnsi"/>
          <w:sz w:val="20"/>
          <w:szCs w:val="21"/>
        </w:rPr>
      </w:pPr>
      <w:r w:rsidRPr="000A4B16">
        <w:rPr>
          <w:rFonts w:cstheme="minorHAnsi"/>
          <w:sz w:val="20"/>
          <w:szCs w:val="21"/>
        </w:rPr>
        <w:t xml:space="preserve">Trespass </w:t>
      </w:r>
      <w:r w:rsidR="004D46D3" w:rsidRPr="000A4B16">
        <w:rPr>
          <w:rFonts w:cstheme="minorHAnsi"/>
          <w:sz w:val="20"/>
          <w:szCs w:val="21"/>
        </w:rPr>
        <w:t>incidents have now increased slightly by 1.4% (</w:t>
      </w:r>
      <w:r w:rsidR="006B02EA" w:rsidRPr="000A4B16">
        <w:rPr>
          <w:rFonts w:cstheme="minorHAnsi"/>
          <w:sz w:val="20"/>
          <w:szCs w:val="21"/>
        </w:rPr>
        <w:t>+9</w:t>
      </w:r>
      <w:r w:rsidR="004D46D3" w:rsidRPr="000A4B16">
        <w:rPr>
          <w:rFonts w:cstheme="minorHAnsi"/>
          <w:sz w:val="20"/>
          <w:szCs w:val="21"/>
        </w:rPr>
        <w:t xml:space="preserve"> incidents)</w:t>
      </w:r>
      <w:r w:rsidR="0093448B" w:rsidRPr="000A4B16">
        <w:rPr>
          <w:rFonts w:cstheme="minorHAnsi"/>
          <w:sz w:val="20"/>
          <w:szCs w:val="21"/>
        </w:rPr>
        <w:t xml:space="preserve"> though </w:t>
      </w:r>
      <w:r w:rsidR="006B02EA" w:rsidRPr="000A4B16">
        <w:rPr>
          <w:rFonts w:cstheme="minorHAnsi"/>
          <w:sz w:val="20"/>
          <w:szCs w:val="21"/>
        </w:rPr>
        <w:t xml:space="preserve">minutes </w:t>
      </w:r>
      <w:r w:rsidR="0093448B" w:rsidRPr="000A4B16">
        <w:rPr>
          <w:rFonts w:cstheme="minorHAnsi"/>
          <w:sz w:val="20"/>
          <w:szCs w:val="21"/>
        </w:rPr>
        <w:t>los</w:t>
      </w:r>
      <w:r w:rsidR="006B02EA" w:rsidRPr="000A4B16">
        <w:rPr>
          <w:rFonts w:cstheme="minorHAnsi"/>
          <w:sz w:val="20"/>
          <w:szCs w:val="21"/>
        </w:rPr>
        <w:t>t in this category have</w:t>
      </w:r>
      <w:r w:rsidR="004D46D3" w:rsidRPr="000A4B16">
        <w:rPr>
          <w:rFonts w:cstheme="minorHAnsi"/>
          <w:sz w:val="20"/>
          <w:szCs w:val="21"/>
        </w:rPr>
        <w:t xml:space="preserve"> reduced by 19%.</w:t>
      </w:r>
      <w:r w:rsidR="0093448B" w:rsidRPr="000A4B16">
        <w:rPr>
          <w:rFonts w:ascii="Arial" w:hAnsi="Arial" w:cs="Arial"/>
          <w:sz w:val="20"/>
        </w:rPr>
        <w:t xml:space="preserve"> </w:t>
      </w:r>
      <w:r w:rsidR="0093448B" w:rsidRPr="000A4B16">
        <w:rPr>
          <w:rFonts w:cstheme="minorHAnsi"/>
          <w:sz w:val="20"/>
          <w:szCs w:val="21"/>
        </w:rPr>
        <w:t xml:space="preserve">Much of the increase in trespass incidents is due to </w:t>
      </w:r>
      <w:r w:rsidR="006B02EA" w:rsidRPr="000A4B16">
        <w:rPr>
          <w:rFonts w:cstheme="minorHAnsi"/>
          <w:sz w:val="20"/>
          <w:szCs w:val="21"/>
        </w:rPr>
        <w:t xml:space="preserve">mental health </w:t>
      </w:r>
      <w:r w:rsidR="0093448B" w:rsidRPr="000A4B16">
        <w:rPr>
          <w:rFonts w:cstheme="minorHAnsi"/>
          <w:sz w:val="20"/>
          <w:szCs w:val="21"/>
        </w:rPr>
        <w:t>incidents</w:t>
      </w:r>
      <w:r w:rsidR="006B02EA" w:rsidRPr="000A4B16">
        <w:rPr>
          <w:rFonts w:cstheme="minorHAnsi"/>
          <w:sz w:val="20"/>
          <w:szCs w:val="21"/>
        </w:rPr>
        <w:t xml:space="preserve"> (SPMH)</w:t>
      </w:r>
      <w:r w:rsidR="0093448B" w:rsidRPr="000A4B16">
        <w:rPr>
          <w:rFonts w:cstheme="minorHAnsi"/>
          <w:sz w:val="20"/>
          <w:szCs w:val="21"/>
        </w:rPr>
        <w:t xml:space="preserve">, with persons presenting at the railway. </w:t>
      </w:r>
      <w:r w:rsidR="006B02EA" w:rsidRPr="000A4B16">
        <w:rPr>
          <w:rFonts w:cstheme="minorHAnsi"/>
          <w:sz w:val="20"/>
          <w:szCs w:val="21"/>
        </w:rPr>
        <w:t>Youth (CYP)</w:t>
      </w:r>
      <w:r w:rsidR="0093448B" w:rsidRPr="000A4B16">
        <w:rPr>
          <w:rFonts w:cstheme="minorHAnsi"/>
          <w:sz w:val="20"/>
          <w:szCs w:val="21"/>
        </w:rPr>
        <w:t xml:space="preserve"> trespass also continues to be an issue</w:t>
      </w:r>
      <w:r w:rsidR="006B02EA" w:rsidRPr="000A4B16">
        <w:rPr>
          <w:rFonts w:cstheme="minorHAnsi"/>
          <w:sz w:val="20"/>
          <w:szCs w:val="21"/>
        </w:rPr>
        <w:t xml:space="preserve"> and</w:t>
      </w:r>
      <w:r w:rsidR="0093448B" w:rsidRPr="000A4B16">
        <w:rPr>
          <w:rFonts w:cstheme="minorHAnsi"/>
          <w:sz w:val="20"/>
          <w:szCs w:val="21"/>
        </w:rPr>
        <w:t xml:space="preserve"> much of the increase relat</w:t>
      </w:r>
      <w:r w:rsidR="006B02EA" w:rsidRPr="000A4B16">
        <w:rPr>
          <w:rFonts w:cstheme="minorHAnsi"/>
          <w:sz w:val="20"/>
          <w:szCs w:val="21"/>
        </w:rPr>
        <w:t>es</w:t>
      </w:r>
      <w:r w:rsidR="0093448B" w:rsidRPr="000A4B16">
        <w:rPr>
          <w:rFonts w:cstheme="minorHAnsi"/>
          <w:sz w:val="20"/>
          <w:szCs w:val="21"/>
        </w:rPr>
        <w:t xml:space="preserve"> to the </w:t>
      </w:r>
      <w:r w:rsidR="006B02EA" w:rsidRPr="000A4B16">
        <w:rPr>
          <w:rFonts w:cstheme="minorHAnsi"/>
          <w:sz w:val="20"/>
          <w:szCs w:val="21"/>
        </w:rPr>
        <w:t xml:space="preserve">anti-social behaviour </w:t>
      </w:r>
      <w:r w:rsidR="0093448B" w:rsidRPr="000A4B16">
        <w:rPr>
          <w:rFonts w:cstheme="minorHAnsi"/>
          <w:sz w:val="20"/>
          <w:szCs w:val="21"/>
        </w:rPr>
        <w:t>issue being experienced at various locations across the Division.</w:t>
      </w:r>
    </w:p>
    <w:p w:rsidR="00334BF1" w:rsidRPr="000A4B16" w:rsidRDefault="0093448B" w:rsidP="007E4893">
      <w:pPr>
        <w:jc w:val="both"/>
        <w:rPr>
          <w:rFonts w:cstheme="minorHAnsi"/>
          <w:sz w:val="20"/>
          <w:szCs w:val="21"/>
        </w:rPr>
      </w:pPr>
      <w:r w:rsidRPr="000A4B16">
        <w:rPr>
          <w:rFonts w:cstheme="minorHAnsi"/>
          <w:sz w:val="20"/>
          <w:szCs w:val="21"/>
        </w:rPr>
        <w:lastRenderedPageBreak/>
        <w:t xml:space="preserve">Work is ongoing to reduce </w:t>
      </w:r>
      <w:r w:rsidR="006B02EA" w:rsidRPr="000A4B16">
        <w:rPr>
          <w:rFonts w:cstheme="minorHAnsi"/>
          <w:sz w:val="20"/>
          <w:szCs w:val="21"/>
        </w:rPr>
        <w:t>trespass</w:t>
      </w:r>
      <w:r w:rsidRPr="000A4B16">
        <w:rPr>
          <w:rFonts w:cstheme="minorHAnsi"/>
          <w:sz w:val="20"/>
          <w:szCs w:val="21"/>
        </w:rPr>
        <w:t xml:space="preserve"> and the impact it has</w:t>
      </w:r>
      <w:r w:rsidR="006B02EA" w:rsidRPr="000A4B16">
        <w:rPr>
          <w:rFonts w:cstheme="minorHAnsi"/>
          <w:sz w:val="20"/>
          <w:szCs w:val="21"/>
        </w:rPr>
        <w:t xml:space="preserve"> on the network.  M</w:t>
      </w:r>
      <w:r w:rsidR="00605D97" w:rsidRPr="000A4B16">
        <w:rPr>
          <w:rFonts w:cstheme="minorHAnsi"/>
          <w:sz w:val="20"/>
          <w:szCs w:val="21"/>
        </w:rPr>
        <w:t xml:space="preserve">obile patrol strategy is reviewed each month and </w:t>
      </w:r>
      <w:r w:rsidR="00334BF1" w:rsidRPr="000A4B16">
        <w:rPr>
          <w:rFonts w:cstheme="minorHAnsi"/>
          <w:sz w:val="20"/>
          <w:szCs w:val="21"/>
        </w:rPr>
        <w:t xml:space="preserve">additional </w:t>
      </w:r>
      <w:r w:rsidR="00605D97" w:rsidRPr="000A4B16">
        <w:rPr>
          <w:rFonts w:cstheme="minorHAnsi"/>
          <w:sz w:val="20"/>
          <w:szCs w:val="21"/>
        </w:rPr>
        <w:t>focus</w:t>
      </w:r>
      <w:r w:rsidR="006B02EA" w:rsidRPr="000A4B16">
        <w:rPr>
          <w:rFonts w:cstheme="minorHAnsi"/>
          <w:sz w:val="20"/>
          <w:szCs w:val="21"/>
        </w:rPr>
        <w:t xml:space="preserve"> is given to</w:t>
      </w:r>
      <w:r w:rsidR="00605D97" w:rsidRPr="000A4B16">
        <w:rPr>
          <w:rFonts w:cstheme="minorHAnsi"/>
          <w:sz w:val="20"/>
          <w:szCs w:val="21"/>
        </w:rPr>
        <w:t xml:space="preserve"> any repeat or hotspot location. </w:t>
      </w:r>
      <w:r w:rsidR="00334BF1" w:rsidRPr="000A4B16">
        <w:rPr>
          <w:rFonts w:cstheme="minorHAnsi"/>
          <w:sz w:val="20"/>
          <w:szCs w:val="21"/>
        </w:rPr>
        <w:t xml:space="preserve">In the East Sector, the Neighbourhood Policing team deliver railway safety presentations covering the dangers and risks associated with trespass, stone-throwing, criminal damage, line obstruction, overhead lines and use of Level Crossings. Due to COVID, these have started to be carried out via Safety Presentations via MS team and the feedback has been very positive. Locations for </w:t>
      </w:r>
      <w:r w:rsidR="006B02EA" w:rsidRPr="000A4B16">
        <w:rPr>
          <w:rFonts w:cstheme="minorHAnsi"/>
          <w:sz w:val="20"/>
          <w:szCs w:val="21"/>
        </w:rPr>
        <w:t>these are</w:t>
      </w:r>
      <w:r w:rsidRPr="000A4B16">
        <w:rPr>
          <w:rFonts w:cstheme="minorHAnsi"/>
          <w:sz w:val="20"/>
          <w:szCs w:val="21"/>
        </w:rPr>
        <w:t xml:space="preserve"> determined by trespass incidents and </w:t>
      </w:r>
      <w:r w:rsidR="006B02EA" w:rsidRPr="000A4B16">
        <w:rPr>
          <w:rFonts w:cstheme="minorHAnsi"/>
          <w:sz w:val="20"/>
          <w:szCs w:val="21"/>
        </w:rPr>
        <w:t>any</w:t>
      </w:r>
      <w:r w:rsidRPr="000A4B16">
        <w:rPr>
          <w:rFonts w:cstheme="minorHAnsi"/>
          <w:sz w:val="20"/>
          <w:szCs w:val="21"/>
        </w:rPr>
        <w:t xml:space="preserve"> areas highlighted by the embedded Inspector within Network Rail.</w:t>
      </w:r>
      <w:r w:rsidR="00334BF1" w:rsidRPr="000A4B16">
        <w:rPr>
          <w:rFonts w:cstheme="minorHAnsi"/>
          <w:sz w:val="20"/>
          <w:szCs w:val="21"/>
        </w:rPr>
        <w:t xml:space="preserve"> </w:t>
      </w:r>
    </w:p>
    <w:p w:rsidR="0067377B" w:rsidRPr="000A4B16" w:rsidRDefault="0093448B" w:rsidP="007E4893">
      <w:pPr>
        <w:jc w:val="both"/>
        <w:rPr>
          <w:rFonts w:cstheme="minorHAnsi"/>
          <w:sz w:val="20"/>
          <w:szCs w:val="21"/>
        </w:rPr>
      </w:pPr>
      <w:r w:rsidRPr="000A4B16">
        <w:rPr>
          <w:rFonts w:cstheme="minorHAnsi"/>
          <w:sz w:val="20"/>
          <w:szCs w:val="21"/>
        </w:rPr>
        <w:t xml:space="preserve">As stated, youth trespass is a divisional problem and multiple days of action </w:t>
      </w:r>
      <w:r w:rsidR="00DE6093" w:rsidRPr="000A4B16">
        <w:rPr>
          <w:rFonts w:cstheme="minorHAnsi"/>
          <w:sz w:val="20"/>
          <w:szCs w:val="21"/>
        </w:rPr>
        <w:t>have taken</w:t>
      </w:r>
      <w:r w:rsidRPr="000A4B16">
        <w:rPr>
          <w:rFonts w:cstheme="minorHAnsi"/>
          <w:sz w:val="20"/>
          <w:szCs w:val="21"/>
        </w:rPr>
        <w:t xml:space="preserve"> place in the Girvan and Maybole area after reports from staff of issues involving trespass and surfing at the location. Moreover, o</w:t>
      </w:r>
      <w:r w:rsidR="00605D97" w:rsidRPr="000A4B16">
        <w:rPr>
          <w:rFonts w:cstheme="minorHAnsi"/>
          <w:sz w:val="20"/>
          <w:szCs w:val="21"/>
        </w:rPr>
        <w:t xml:space="preserve">n </w:t>
      </w:r>
      <w:r w:rsidR="006B02EA" w:rsidRPr="000A4B16">
        <w:rPr>
          <w:rFonts w:cstheme="minorHAnsi"/>
          <w:sz w:val="20"/>
          <w:szCs w:val="21"/>
        </w:rPr>
        <w:t>01/12/2020,</w:t>
      </w:r>
      <w:r w:rsidR="00605D97" w:rsidRPr="000A4B16">
        <w:rPr>
          <w:rFonts w:cstheme="minorHAnsi"/>
          <w:sz w:val="20"/>
          <w:szCs w:val="21"/>
        </w:rPr>
        <w:t xml:space="preserve"> </w:t>
      </w:r>
      <w:r w:rsidR="006B02EA" w:rsidRPr="000A4B16">
        <w:rPr>
          <w:rFonts w:cstheme="minorHAnsi"/>
          <w:sz w:val="20"/>
          <w:szCs w:val="21"/>
        </w:rPr>
        <w:t xml:space="preserve">online </w:t>
      </w:r>
      <w:r w:rsidR="0064463C" w:rsidRPr="000A4B16">
        <w:rPr>
          <w:rFonts w:cstheme="minorHAnsi"/>
          <w:sz w:val="20"/>
          <w:szCs w:val="21"/>
        </w:rPr>
        <w:t xml:space="preserve">images </w:t>
      </w:r>
      <w:r w:rsidR="00605D97" w:rsidRPr="000A4B16">
        <w:rPr>
          <w:rFonts w:cstheme="minorHAnsi"/>
          <w:sz w:val="20"/>
          <w:szCs w:val="21"/>
        </w:rPr>
        <w:t xml:space="preserve">of children trespassing at Belmont Level Crossing in Ayr were brought to </w:t>
      </w:r>
      <w:r w:rsidRPr="000A4B16">
        <w:rPr>
          <w:rFonts w:cstheme="minorHAnsi"/>
          <w:sz w:val="20"/>
          <w:szCs w:val="21"/>
        </w:rPr>
        <w:t xml:space="preserve">BTP </w:t>
      </w:r>
      <w:r w:rsidR="00605D97" w:rsidRPr="000A4B16">
        <w:rPr>
          <w:rFonts w:cstheme="minorHAnsi"/>
          <w:sz w:val="20"/>
          <w:szCs w:val="21"/>
        </w:rPr>
        <w:t xml:space="preserve">attention. Excellent early enquiry work lead to the detection of </w:t>
      </w:r>
      <w:r w:rsidRPr="000A4B16">
        <w:rPr>
          <w:rFonts w:cstheme="minorHAnsi"/>
          <w:sz w:val="20"/>
          <w:szCs w:val="21"/>
        </w:rPr>
        <w:t>3</w:t>
      </w:r>
      <w:r w:rsidR="00605D97" w:rsidRPr="000A4B16">
        <w:rPr>
          <w:rFonts w:cstheme="minorHAnsi"/>
          <w:sz w:val="20"/>
          <w:szCs w:val="21"/>
        </w:rPr>
        <w:t xml:space="preserve"> youths and subsequent engagement work with Belmont Academy. </w:t>
      </w:r>
      <w:r w:rsidR="00824DBB" w:rsidRPr="000A4B16">
        <w:rPr>
          <w:rFonts w:cstheme="minorHAnsi"/>
          <w:sz w:val="20"/>
          <w:szCs w:val="21"/>
        </w:rPr>
        <w:t xml:space="preserve"> </w:t>
      </w:r>
      <w:r w:rsidR="002F4DE1" w:rsidRPr="000A4B16">
        <w:rPr>
          <w:rFonts w:cstheme="minorHAnsi"/>
          <w:sz w:val="20"/>
          <w:szCs w:val="21"/>
        </w:rPr>
        <w:t>A multi-agency site visit is</w:t>
      </w:r>
      <w:r w:rsidR="00824DBB" w:rsidRPr="000A4B16">
        <w:rPr>
          <w:rFonts w:cstheme="minorHAnsi"/>
          <w:sz w:val="20"/>
          <w:szCs w:val="21"/>
        </w:rPr>
        <w:t xml:space="preserve"> also</w:t>
      </w:r>
      <w:r w:rsidR="002F4DE1" w:rsidRPr="000A4B16">
        <w:rPr>
          <w:rFonts w:cstheme="minorHAnsi"/>
          <w:sz w:val="20"/>
          <w:szCs w:val="21"/>
        </w:rPr>
        <w:t xml:space="preserve"> being arranged at Kilpatrick Station following </w:t>
      </w:r>
      <w:r w:rsidR="00824DBB" w:rsidRPr="000A4B16">
        <w:rPr>
          <w:rFonts w:cstheme="minorHAnsi"/>
          <w:sz w:val="20"/>
          <w:szCs w:val="21"/>
        </w:rPr>
        <w:t xml:space="preserve">several </w:t>
      </w:r>
      <w:r w:rsidR="002F4DE1" w:rsidRPr="000A4B16">
        <w:rPr>
          <w:rFonts w:cstheme="minorHAnsi"/>
          <w:sz w:val="20"/>
          <w:szCs w:val="21"/>
        </w:rPr>
        <w:t>CYP trespass incidents</w:t>
      </w:r>
      <w:r w:rsidR="00824DBB" w:rsidRPr="000A4B16">
        <w:rPr>
          <w:rFonts w:cstheme="minorHAnsi"/>
          <w:sz w:val="20"/>
          <w:szCs w:val="21"/>
        </w:rPr>
        <w:t xml:space="preserve"> which</w:t>
      </w:r>
      <w:r w:rsidR="002F4DE1" w:rsidRPr="000A4B16">
        <w:rPr>
          <w:rFonts w:cstheme="minorHAnsi"/>
          <w:sz w:val="20"/>
          <w:szCs w:val="21"/>
        </w:rPr>
        <w:t xml:space="preserve"> will include representatives of the railway industry.</w:t>
      </w:r>
    </w:p>
    <w:p w:rsidR="00614709" w:rsidRPr="000A4B16" w:rsidRDefault="00614709" w:rsidP="007E4893">
      <w:pPr>
        <w:jc w:val="both"/>
        <w:rPr>
          <w:rFonts w:cstheme="minorHAnsi"/>
          <w:sz w:val="20"/>
          <w:szCs w:val="21"/>
        </w:rPr>
      </w:pPr>
    </w:p>
    <w:p w:rsidR="00BD701D" w:rsidRPr="002D7D88" w:rsidRDefault="00B871B3" w:rsidP="00BD701D">
      <w:pPr>
        <w:rPr>
          <w:rFonts w:cstheme="minorHAnsi"/>
          <w:b/>
          <w:i/>
          <w:color w:val="1F3864" w:themeColor="accent1" w:themeShade="80"/>
          <w:sz w:val="21"/>
          <w:szCs w:val="21"/>
        </w:rPr>
      </w:pPr>
      <w:bookmarkStart w:id="5" w:name="_Hlk48551876"/>
      <w:bookmarkStart w:id="6" w:name="_Hlk62026764"/>
      <w:bookmarkStart w:id="7" w:name="_Hlk62737831"/>
      <w:r>
        <w:rPr>
          <w:rFonts w:cstheme="minorHAnsi"/>
          <w:b/>
          <w:i/>
          <w:color w:val="1F3864" w:themeColor="accent1" w:themeShade="80"/>
          <w:sz w:val="21"/>
          <w:szCs w:val="21"/>
        </w:rPr>
        <w:t>Local Objective:</w:t>
      </w:r>
      <w:r w:rsidR="00BD701D">
        <w:rPr>
          <w:rFonts w:cstheme="minorHAnsi"/>
          <w:b/>
          <w:i/>
          <w:color w:val="1F3864" w:themeColor="accent1" w:themeShade="80"/>
          <w:sz w:val="21"/>
          <w:szCs w:val="21"/>
        </w:rPr>
        <w:t xml:space="preserve"> </w:t>
      </w:r>
      <w:r w:rsidR="00BD701D" w:rsidRPr="006919F2">
        <w:rPr>
          <w:rFonts w:cstheme="minorHAnsi"/>
          <w:b/>
          <w:i/>
          <w:color w:val="1F3864" w:themeColor="accent1" w:themeShade="80"/>
          <w:sz w:val="21"/>
          <w:szCs w:val="21"/>
        </w:rPr>
        <w:t>Maintain an average handback time of under 90 minutes for non-suspicious incidents.</w:t>
      </w:r>
      <w:bookmarkEnd w:id="5"/>
    </w:p>
    <w:p w:rsidR="002F4DE1" w:rsidRPr="000A4B16" w:rsidRDefault="002F4DE1" w:rsidP="002F4DE1">
      <w:pPr>
        <w:jc w:val="both"/>
        <w:rPr>
          <w:sz w:val="20"/>
          <w:szCs w:val="20"/>
        </w:rPr>
      </w:pPr>
      <w:r w:rsidRPr="000A4B16">
        <w:rPr>
          <w:sz w:val="20"/>
          <w:szCs w:val="20"/>
        </w:rPr>
        <w:t>Fatalities and non-fatal incidents involving persons struck by trains</w:t>
      </w:r>
      <w:r w:rsidR="00220633" w:rsidRPr="000A4B16">
        <w:rPr>
          <w:sz w:val="20"/>
          <w:szCs w:val="20"/>
        </w:rPr>
        <w:t xml:space="preserve"> has</w:t>
      </w:r>
      <w:r w:rsidRPr="000A4B16">
        <w:rPr>
          <w:sz w:val="20"/>
          <w:szCs w:val="20"/>
        </w:rPr>
        <w:t xml:space="preserve"> increased by 33%</w:t>
      </w:r>
      <w:r w:rsidR="00220633" w:rsidRPr="000A4B16">
        <w:rPr>
          <w:sz w:val="20"/>
          <w:szCs w:val="20"/>
        </w:rPr>
        <w:t xml:space="preserve">, </w:t>
      </w:r>
      <w:r w:rsidRPr="000A4B16">
        <w:rPr>
          <w:sz w:val="20"/>
          <w:szCs w:val="20"/>
        </w:rPr>
        <w:t xml:space="preserve">from 18 to 24. There </w:t>
      </w:r>
      <w:r w:rsidR="000B7575" w:rsidRPr="000A4B16">
        <w:rPr>
          <w:sz w:val="20"/>
          <w:szCs w:val="20"/>
        </w:rPr>
        <w:t xml:space="preserve">have been </w:t>
      </w:r>
      <w:r w:rsidR="00220633" w:rsidRPr="000A4B16">
        <w:rPr>
          <w:sz w:val="20"/>
          <w:szCs w:val="20"/>
        </w:rPr>
        <w:t>no</w:t>
      </w:r>
      <w:r w:rsidRPr="000A4B16">
        <w:rPr>
          <w:sz w:val="20"/>
          <w:szCs w:val="20"/>
        </w:rPr>
        <w:t xml:space="preserve"> </w:t>
      </w:r>
      <w:r w:rsidR="000B7575" w:rsidRPr="000A4B16">
        <w:rPr>
          <w:sz w:val="20"/>
          <w:szCs w:val="20"/>
        </w:rPr>
        <w:t xml:space="preserve">repeat </w:t>
      </w:r>
      <w:r w:rsidRPr="000A4B16">
        <w:rPr>
          <w:sz w:val="20"/>
          <w:szCs w:val="20"/>
        </w:rPr>
        <w:t xml:space="preserve">locations for fatalities in </w:t>
      </w:r>
      <w:r w:rsidR="00220633" w:rsidRPr="000A4B16">
        <w:rPr>
          <w:sz w:val="20"/>
          <w:szCs w:val="20"/>
        </w:rPr>
        <w:t>Scotland</w:t>
      </w:r>
      <w:r w:rsidRPr="000A4B16">
        <w:rPr>
          <w:sz w:val="20"/>
          <w:szCs w:val="20"/>
        </w:rPr>
        <w:t xml:space="preserve"> </w:t>
      </w:r>
      <w:r w:rsidR="00220633" w:rsidRPr="000A4B16">
        <w:rPr>
          <w:sz w:val="20"/>
          <w:szCs w:val="20"/>
        </w:rPr>
        <w:t>in the reporting period</w:t>
      </w:r>
      <w:r w:rsidRPr="000A4B16">
        <w:rPr>
          <w:sz w:val="20"/>
          <w:szCs w:val="20"/>
        </w:rPr>
        <w:t>.</w:t>
      </w:r>
    </w:p>
    <w:bookmarkEnd w:id="6"/>
    <w:p w:rsidR="00107733" w:rsidRPr="000A4B16" w:rsidRDefault="00107733" w:rsidP="00107733">
      <w:pPr>
        <w:jc w:val="both"/>
        <w:rPr>
          <w:sz w:val="20"/>
          <w:szCs w:val="20"/>
        </w:rPr>
      </w:pPr>
      <w:r w:rsidRPr="000A4B16">
        <w:rPr>
          <w:rFonts w:cs="Arial"/>
          <w:sz w:val="20"/>
          <w:szCs w:val="20"/>
        </w:rPr>
        <w:t xml:space="preserve">The average handback time is currently higher than 90 minutes (106) and this is due to </w:t>
      </w:r>
      <w:r w:rsidR="00604688" w:rsidRPr="000A4B16">
        <w:rPr>
          <w:rFonts w:cs="Arial"/>
          <w:sz w:val="20"/>
          <w:szCs w:val="20"/>
        </w:rPr>
        <w:t>several</w:t>
      </w:r>
      <w:r w:rsidRPr="000A4B16">
        <w:rPr>
          <w:rFonts w:cs="Arial"/>
          <w:sz w:val="20"/>
          <w:szCs w:val="20"/>
        </w:rPr>
        <w:t xml:space="preserve"> incidents where the handback time was significantly high – namely a fatality on 13/07/2020 at Forth Rail Bridge (244 minutes) which was </w:t>
      </w:r>
      <w:r w:rsidRPr="000A4B16">
        <w:rPr>
          <w:sz w:val="20"/>
          <w:szCs w:val="20"/>
        </w:rPr>
        <w:t xml:space="preserve">treated as unexplained. A search of the bridge resulted in a high number of delay minutes. </w:t>
      </w:r>
      <w:r w:rsidR="00A15EC4" w:rsidRPr="000A4B16">
        <w:rPr>
          <w:sz w:val="20"/>
          <w:szCs w:val="20"/>
        </w:rPr>
        <w:t xml:space="preserve">Handback time is </w:t>
      </w:r>
      <w:r w:rsidR="00512C0F" w:rsidRPr="000A4B16">
        <w:rPr>
          <w:sz w:val="20"/>
          <w:szCs w:val="20"/>
        </w:rPr>
        <w:t xml:space="preserve">largely </w:t>
      </w:r>
      <w:r w:rsidR="00A15EC4" w:rsidRPr="000A4B16">
        <w:rPr>
          <w:sz w:val="20"/>
          <w:szCs w:val="20"/>
        </w:rPr>
        <w:t>dependent on arrival time and</w:t>
      </w:r>
      <w:r w:rsidR="00512C0F" w:rsidRPr="000A4B16">
        <w:rPr>
          <w:sz w:val="20"/>
          <w:szCs w:val="20"/>
        </w:rPr>
        <w:t xml:space="preserve"> geographical location. O</w:t>
      </w:r>
      <w:r w:rsidRPr="000A4B16">
        <w:rPr>
          <w:sz w:val="20"/>
          <w:szCs w:val="20"/>
        </w:rPr>
        <w:t xml:space="preserve">ther high recording incidents include a fatality at Newtonhill (191, </w:t>
      </w:r>
      <w:r w:rsidR="00A15EC4" w:rsidRPr="000A4B16">
        <w:rPr>
          <w:sz w:val="20"/>
          <w:szCs w:val="20"/>
        </w:rPr>
        <w:t xml:space="preserve">when there was </w:t>
      </w:r>
      <w:r w:rsidRPr="000A4B16">
        <w:rPr>
          <w:sz w:val="20"/>
          <w:szCs w:val="20"/>
        </w:rPr>
        <w:t xml:space="preserve">no relief driver availability) and at Newburgh (174). </w:t>
      </w:r>
    </w:p>
    <w:p w:rsidR="00220633" w:rsidRPr="000A4B16" w:rsidRDefault="00F01817" w:rsidP="00343D88">
      <w:pPr>
        <w:jc w:val="both"/>
        <w:rPr>
          <w:rFonts w:cs="Arial"/>
          <w:sz w:val="20"/>
          <w:szCs w:val="20"/>
        </w:rPr>
      </w:pPr>
      <w:bookmarkStart w:id="8" w:name="_Hlk62738052"/>
      <w:bookmarkEnd w:id="7"/>
      <w:r w:rsidRPr="000A4B16">
        <w:rPr>
          <w:rFonts w:cs="Arial"/>
          <w:sz w:val="20"/>
          <w:szCs w:val="20"/>
        </w:rPr>
        <w:t>January 2021 saw the launch of a dedicated Disruption Reduction Unit which has been set up to target police-related disruption on the rail network and which reports directly to the Embedded Inspector.</w:t>
      </w:r>
    </w:p>
    <w:bookmarkEnd w:id="8"/>
    <w:p w:rsidR="00F01817" w:rsidRPr="00220633" w:rsidRDefault="00F01817" w:rsidP="00343D88">
      <w:pPr>
        <w:jc w:val="both"/>
      </w:pPr>
    </w:p>
    <w:p w:rsidR="00BD701D" w:rsidRPr="00ED1268" w:rsidRDefault="00BD701D" w:rsidP="00BD701D">
      <w:pPr>
        <w:rPr>
          <w:rFonts w:cstheme="minorHAnsi"/>
          <w:b/>
          <w:color w:val="000000"/>
          <w:sz w:val="21"/>
          <w:szCs w:val="21"/>
          <w:u w:val="single"/>
        </w:rPr>
      </w:pPr>
      <w:r>
        <w:rPr>
          <w:rFonts w:cstheme="minorHAnsi"/>
          <w:b/>
          <w:color w:val="000000"/>
          <w:sz w:val="21"/>
          <w:szCs w:val="21"/>
          <w:u w:val="single"/>
        </w:rPr>
        <w:t xml:space="preserve">Football </w:t>
      </w:r>
    </w:p>
    <w:p w:rsidR="00BD701D" w:rsidRPr="000A4B16" w:rsidRDefault="00BD701D" w:rsidP="000B7575">
      <w:pPr>
        <w:jc w:val="both"/>
        <w:rPr>
          <w:sz w:val="20"/>
          <w:szCs w:val="21"/>
        </w:rPr>
      </w:pPr>
      <w:r w:rsidRPr="000A4B16">
        <w:rPr>
          <w:sz w:val="20"/>
          <w:szCs w:val="21"/>
        </w:rPr>
        <w:t>Liaison has taken place between BTP and the industry to ensure adequate plans are in place for the safe (socially distanced) queueing of passengers once fans are back at stadia. Staffing levels will also be increased at main line stations to ensure segregation and to monitor queues</w:t>
      </w:r>
      <w:r w:rsidR="00194F32" w:rsidRPr="000A4B16">
        <w:rPr>
          <w:sz w:val="20"/>
          <w:szCs w:val="21"/>
        </w:rPr>
        <w:t xml:space="preserve"> and ensure safety of passengers and staff</w:t>
      </w:r>
      <w:r w:rsidRPr="000A4B16">
        <w:rPr>
          <w:sz w:val="20"/>
          <w:szCs w:val="21"/>
        </w:rPr>
        <w:t xml:space="preserve">. </w:t>
      </w:r>
    </w:p>
    <w:p w:rsidR="00FA481A" w:rsidRDefault="00FA481A" w:rsidP="00FA481A">
      <w:pPr>
        <w:rPr>
          <w:rFonts w:cstheme="minorHAnsi"/>
          <w:b/>
          <w:color w:val="000000"/>
          <w:sz w:val="21"/>
          <w:szCs w:val="21"/>
          <w:u w:val="single"/>
        </w:rPr>
      </w:pPr>
      <w:bookmarkStart w:id="9" w:name="_Hlk61847881"/>
    </w:p>
    <w:p w:rsidR="0064463C" w:rsidRDefault="0064463C" w:rsidP="00FA481A">
      <w:pPr>
        <w:rPr>
          <w:rFonts w:cstheme="minorHAnsi"/>
          <w:b/>
          <w:color w:val="000000"/>
          <w:sz w:val="21"/>
          <w:szCs w:val="21"/>
          <w:u w:val="single"/>
        </w:rPr>
      </w:pPr>
    </w:p>
    <w:p w:rsidR="0064463C" w:rsidRDefault="0064463C" w:rsidP="00FA481A">
      <w:pPr>
        <w:rPr>
          <w:rFonts w:cstheme="minorHAnsi"/>
          <w:b/>
          <w:color w:val="000000"/>
          <w:sz w:val="21"/>
          <w:szCs w:val="21"/>
          <w:u w:val="single"/>
        </w:rPr>
      </w:pPr>
    </w:p>
    <w:p w:rsidR="0064463C" w:rsidRDefault="0064463C" w:rsidP="00FA481A">
      <w:pPr>
        <w:rPr>
          <w:rFonts w:cstheme="minorHAnsi"/>
          <w:b/>
          <w:color w:val="000000"/>
          <w:sz w:val="21"/>
          <w:szCs w:val="21"/>
          <w:u w:val="single"/>
        </w:rPr>
      </w:pPr>
    </w:p>
    <w:bookmarkEnd w:id="9"/>
    <w:p w:rsidR="00E54EBD" w:rsidRDefault="00E54EBD" w:rsidP="00343D88">
      <w:pPr>
        <w:jc w:val="both"/>
        <w:rPr>
          <w:rFonts w:cstheme="minorHAnsi"/>
          <w:b/>
          <w:color w:val="000000"/>
          <w:sz w:val="21"/>
          <w:szCs w:val="21"/>
          <w:u w:val="single"/>
        </w:rPr>
      </w:pPr>
    </w:p>
    <w:p w:rsidR="00386AA1" w:rsidRDefault="00386AA1" w:rsidP="00343D88">
      <w:pPr>
        <w:jc w:val="both"/>
        <w:rPr>
          <w:rFonts w:cstheme="minorHAnsi"/>
          <w:b/>
          <w:color w:val="000000"/>
          <w:sz w:val="21"/>
          <w:szCs w:val="21"/>
          <w:u w:val="single"/>
        </w:rPr>
      </w:pPr>
    </w:p>
    <w:p w:rsidR="003973F2" w:rsidRDefault="003973F2" w:rsidP="00343D88">
      <w:pPr>
        <w:jc w:val="both"/>
        <w:rPr>
          <w:rFonts w:cstheme="minorHAnsi"/>
          <w:b/>
          <w:color w:val="000000"/>
          <w:sz w:val="21"/>
          <w:szCs w:val="21"/>
          <w:u w:val="single"/>
        </w:rPr>
      </w:pPr>
    </w:p>
    <w:p w:rsidR="003973F2" w:rsidRDefault="003973F2" w:rsidP="00343D88">
      <w:pPr>
        <w:jc w:val="both"/>
        <w:rPr>
          <w:rFonts w:cstheme="minorHAnsi"/>
          <w:b/>
          <w:color w:val="000000"/>
          <w:sz w:val="21"/>
          <w:szCs w:val="21"/>
          <w:u w:val="single"/>
        </w:rPr>
      </w:pPr>
    </w:p>
    <w:p w:rsidR="003973F2" w:rsidRDefault="003973F2" w:rsidP="00343D88">
      <w:pPr>
        <w:jc w:val="both"/>
        <w:rPr>
          <w:rFonts w:cstheme="minorHAnsi"/>
          <w:b/>
          <w:color w:val="000000"/>
          <w:sz w:val="21"/>
          <w:szCs w:val="21"/>
          <w:u w:val="single"/>
        </w:rPr>
      </w:pPr>
    </w:p>
    <w:p w:rsidR="008F48F4" w:rsidRPr="009426A0" w:rsidRDefault="00220633">
      <w:pPr>
        <w:rPr>
          <w:b/>
          <w:u w:val="single"/>
        </w:rPr>
      </w:pPr>
      <w:r>
        <w:rPr>
          <w:b/>
          <w:u w:val="single"/>
        </w:rPr>
        <w:t>A</w:t>
      </w:r>
      <w:r w:rsidR="000F0903" w:rsidRPr="009426A0">
        <w:rPr>
          <w:b/>
          <w:u w:val="single"/>
        </w:rPr>
        <w:t>ppen</w:t>
      </w:r>
      <w:r w:rsidR="00614709">
        <w:rPr>
          <w:b/>
          <w:u w:val="single"/>
        </w:rPr>
        <w:t>d</w:t>
      </w:r>
      <w:r w:rsidR="000F0903" w:rsidRPr="009426A0">
        <w:rPr>
          <w:b/>
          <w:u w:val="single"/>
        </w:rPr>
        <w:t>ix</w:t>
      </w:r>
    </w:p>
    <w:p w:rsidR="002D3212" w:rsidRPr="002D3212" w:rsidRDefault="009426A0">
      <w:pPr>
        <w:rPr>
          <w:b/>
          <w:sz w:val="20"/>
        </w:rPr>
      </w:pPr>
      <w:r w:rsidRPr="009426A0">
        <w:rPr>
          <w:sz w:val="20"/>
        </w:rPr>
        <w:t>The table below shows all notifiable crime between April 1</w:t>
      </w:r>
      <w:r w:rsidRPr="009426A0">
        <w:rPr>
          <w:sz w:val="20"/>
          <w:vertAlign w:val="superscript"/>
        </w:rPr>
        <w:t>st</w:t>
      </w:r>
      <w:r w:rsidRPr="009426A0">
        <w:rPr>
          <w:sz w:val="20"/>
        </w:rPr>
        <w:t xml:space="preserve"> – 31</w:t>
      </w:r>
      <w:r w:rsidRPr="009426A0">
        <w:rPr>
          <w:sz w:val="20"/>
          <w:vertAlign w:val="superscript"/>
        </w:rPr>
        <w:t>st</w:t>
      </w:r>
      <w:r w:rsidRPr="009426A0">
        <w:rPr>
          <w:sz w:val="20"/>
        </w:rPr>
        <w:t xml:space="preserve"> December 2020.</w:t>
      </w:r>
      <w:r>
        <w:rPr>
          <w:sz w:val="20"/>
        </w:rPr>
        <w:t xml:space="preserve"> </w:t>
      </w:r>
    </w:p>
    <w:tbl>
      <w:tblPr>
        <w:tblW w:w="9161" w:type="dxa"/>
        <w:tblInd w:w="-15" w:type="dxa"/>
        <w:tblBorders>
          <w:top w:val="single" w:sz="18" w:space="0" w:color="auto"/>
          <w:left w:val="single" w:sz="18" w:space="0" w:color="auto"/>
          <w:bottom w:val="single" w:sz="18" w:space="0" w:color="auto"/>
          <w:right w:val="single" w:sz="18" w:space="0" w:color="auto"/>
          <w:insideH w:val="single" w:sz="8" w:space="0" w:color="A6A6A6"/>
          <w:insideV w:val="single" w:sz="8" w:space="0" w:color="A6A6A6"/>
        </w:tblBorders>
        <w:tblLook w:val="04A0" w:firstRow="1" w:lastRow="0" w:firstColumn="1" w:lastColumn="0" w:noHBand="0" w:noVBand="1"/>
      </w:tblPr>
      <w:tblGrid>
        <w:gridCol w:w="4721"/>
        <w:gridCol w:w="1110"/>
        <w:gridCol w:w="1110"/>
        <w:gridCol w:w="1110"/>
        <w:gridCol w:w="1110"/>
      </w:tblGrid>
      <w:tr w:rsidR="002D3212" w:rsidRPr="002D3212" w:rsidTr="007E4893">
        <w:trPr>
          <w:trHeight w:val="598"/>
        </w:trPr>
        <w:tc>
          <w:tcPr>
            <w:tcW w:w="4721" w:type="dxa"/>
            <w:shd w:val="clear" w:color="auto" w:fill="1F3864" w:themeFill="accent1" w:themeFillShade="80"/>
            <w:vAlign w:val="bottom"/>
          </w:tcPr>
          <w:p w:rsidR="002D3212" w:rsidRPr="00714602" w:rsidRDefault="002D3212" w:rsidP="002D3212">
            <w:pPr>
              <w:jc w:val="center"/>
              <w:rPr>
                <w:sz w:val="20"/>
              </w:rPr>
            </w:pPr>
            <w:r w:rsidRPr="00714602">
              <w:rPr>
                <w:b/>
                <w:bCs/>
                <w:sz w:val="20"/>
              </w:rPr>
              <w:t>Crime Group</w:t>
            </w:r>
          </w:p>
        </w:tc>
        <w:tc>
          <w:tcPr>
            <w:tcW w:w="1110" w:type="dxa"/>
            <w:tcBorders>
              <w:right w:val="single" w:sz="18" w:space="0" w:color="auto"/>
            </w:tcBorders>
            <w:shd w:val="clear" w:color="auto" w:fill="1F3864" w:themeFill="accent1" w:themeFillShade="80"/>
            <w:vAlign w:val="bottom"/>
          </w:tcPr>
          <w:p w:rsidR="002D3212" w:rsidRPr="00714602" w:rsidRDefault="002D3212" w:rsidP="002D3212">
            <w:pPr>
              <w:jc w:val="center"/>
              <w:rPr>
                <w:sz w:val="20"/>
              </w:rPr>
            </w:pPr>
            <w:r w:rsidRPr="00714602">
              <w:rPr>
                <w:b/>
                <w:bCs/>
                <w:sz w:val="20"/>
              </w:rPr>
              <w:t>PYTD</w:t>
            </w:r>
          </w:p>
        </w:tc>
        <w:tc>
          <w:tcPr>
            <w:tcW w:w="1110" w:type="dxa"/>
            <w:tcBorders>
              <w:top w:val="single" w:sz="18" w:space="0" w:color="auto"/>
              <w:left w:val="single" w:sz="18" w:space="0" w:color="auto"/>
              <w:right w:val="single" w:sz="18" w:space="0" w:color="auto"/>
            </w:tcBorders>
            <w:shd w:val="clear" w:color="auto" w:fill="1F3864" w:themeFill="accent1" w:themeFillShade="80"/>
            <w:vAlign w:val="bottom"/>
          </w:tcPr>
          <w:p w:rsidR="002D3212" w:rsidRPr="00714602" w:rsidRDefault="002D3212" w:rsidP="002D3212">
            <w:pPr>
              <w:jc w:val="center"/>
              <w:rPr>
                <w:sz w:val="20"/>
              </w:rPr>
            </w:pPr>
            <w:r w:rsidRPr="00714602">
              <w:rPr>
                <w:b/>
                <w:bCs/>
                <w:sz w:val="20"/>
              </w:rPr>
              <w:t>YTD</w:t>
            </w:r>
          </w:p>
        </w:tc>
        <w:tc>
          <w:tcPr>
            <w:tcW w:w="1110" w:type="dxa"/>
            <w:tcBorders>
              <w:left w:val="single" w:sz="18" w:space="0" w:color="auto"/>
            </w:tcBorders>
            <w:shd w:val="clear" w:color="auto" w:fill="1F3864" w:themeFill="accent1" w:themeFillShade="80"/>
            <w:vAlign w:val="bottom"/>
          </w:tcPr>
          <w:p w:rsidR="002D3212" w:rsidRPr="00714602" w:rsidRDefault="002D3212" w:rsidP="002D3212">
            <w:pPr>
              <w:jc w:val="center"/>
              <w:rPr>
                <w:sz w:val="20"/>
              </w:rPr>
            </w:pPr>
            <w:r w:rsidRPr="00714602">
              <w:rPr>
                <w:b/>
                <w:bCs/>
                <w:sz w:val="20"/>
              </w:rPr>
              <w:t>Diff</w:t>
            </w:r>
          </w:p>
        </w:tc>
        <w:tc>
          <w:tcPr>
            <w:tcW w:w="1110" w:type="dxa"/>
            <w:shd w:val="clear" w:color="auto" w:fill="1F3864" w:themeFill="accent1" w:themeFillShade="80"/>
            <w:vAlign w:val="bottom"/>
          </w:tcPr>
          <w:p w:rsidR="002D3212" w:rsidRPr="00714602" w:rsidRDefault="002D3212" w:rsidP="002D3212">
            <w:pPr>
              <w:jc w:val="center"/>
              <w:rPr>
                <w:sz w:val="20"/>
              </w:rPr>
            </w:pPr>
            <w:r w:rsidRPr="00714602">
              <w:rPr>
                <w:b/>
                <w:bCs/>
                <w:sz w:val="20"/>
              </w:rPr>
              <w:t>% Diff</w:t>
            </w:r>
          </w:p>
        </w:tc>
      </w:tr>
      <w:tr w:rsidR="00BD701D" w:rsidRPr="002D3212" w:rsidTr="007E4893">
        <w:trPr>
          <w:trHeight w:val="598"/>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01A Violence Against the Person</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415</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263</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-152</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-37%</w:t>
            </w:r>
          </w:p>
        </w:tc>
      </w:tr>
      <w:tr w:rsidR="00174BA5" w:rsidRPr="002D3212" w:rsidTr="007E4893">
        <w:trPr>
          <w:trHeight w:val="429"/>
        </w:trPr>
        <w:tc>
          <w:tcPr>
            <w:tcW w:w="4721" w:type="dxa"/>
            <w:shd w:val="clear" w:color="000000" w:fill="FFE699"/>
            <w:vAlign w:val="center"/>
          </w:tcPr>
          <w:p w:rsidR="00174BA5" w:rsidRPr="002D3212" w:rsidRDefault="00174BA5" w:rsidP="002D3212">
            <w:pPr>
              <w:spacing w:after="0" w:line="240" w:lineRule="auto"/>
              <w:jc w:val="center"/>
              <w:rPr>
                <w:rFonts w:ascii="Calibri" w:eastAsia="Times New Roman" w:hAnsi="Calibri" w:cs="Arial"/>
                <w:color w:val="000000"/>
                <w:sz w:val="18"/>
                <w:lang w:eastAsia="en-GB"/>
              </w:rPr>
            </w:pPr>
            <w:r>
              <w:rPr>
                <w:rFonts w:ascii="Calibri" w:eastAsia="Times New Roman" w:hAnsi="Calibri" w:cs="Arial"/>
                <w:color w:val="000000"/>
                <w:sz w:val="18"/>
                <w:lang w:eastAsia="en-GB"/>
              </w:rPr>
              <w:t>01A Violence</w:t>
            </w:r>
          </w:p>
        </w:tc>
        <w:tc>
          <w:tcPr>
            <w:tcW w:w="1110" w:type="dxa"/>
            <w:tcBorders>
              <w:right w:val="single" w:sz="18" w:space="0" w:color="auto"/>
            </w:tcBorders>
            <w:shd w:val="clear" w:color="000000" w:fill="FFE699"/>
            <w:vAlign w:val="center"/>
          </w:tcPr>
          <w:p w:rsidR="00174BA5" w:rsidRPr="002D3212" w:rsidRDefault="00174BA5" w:rsidP="002D3212">
            <w:pPr>
              <w:spacing w:after="0" w:line="240" w:lineRule="auto"/>
              <w:jc w:val="center"/>
              <w:rPr>
                <w:rFonts w:ascii="Calibri" w:eastAsia="Times New Roman" w:hAnsi="Calibri" w:cs="Arial"/>
                <w:color w:val="000000"/>
                <w:sz w:val="18"/>
                <w:lang w:eastAsia="en-GB"/>
              </w:rPr>
            </w:pPr>
            <w:r>
              <w:rPr>
                <w:rFonts w:ascii="Calibri" w:eastAsia="Times New Roman" w:hAnsi="Calibri" w:cs="Arial"/>
                <w:color w:val="000000"/>
                <w:sz w:val="18"/>
                <w:lang w:eastAsia="en-GB"/>
              </w:rPr>
              <w:t>369</w:t>
            </w:r>
          </w:p>
        </w:tc>
        <w:tc>
          <w:tcPr>
            <w:tcW w:w="1110" w:type="dxa"/>
            <w:tcBorders>
              <w:left w:val="single" w:sz="18" w:space="0" w:color="auto"/>
              <w:right w:val="single" w:sz="18" w:space="0" w:color="auto"/>
            </w:tcBorders>
            <w:shd w:val="clear" w:color="000000" w:fill="FFE699"/>
            <w:vAlign w:val="center"/>
          </w:tcPr>
          <w:p w:rsidR="00174BA5" w:rsidRPr="002D3212" w:rsidRDefault="00174BA5" w:rsidP="002D3212">
            <w:pPr>
              <w:spacing w:after="0" w:line="240" w:lineRule="auto"/>
              <w:jc w:val="center"/>
              <w:rPr>
                <w:rFonts w:ascii="Calibri" w:eastAsia="Times New Roman" w:hAnsi="Calibri" w:cs="Arial"/>
                <w:color w:val="000000"/>
                <w:sz w:val="18"/>
                <w:lang w:eastAsia="en-GB"/>
              </w:rPr>
            </w:pPr>
            <w:r>
              <w:rPr>
                <w:rFonts w:ascii="Calibri" w:eastAsia="Times New Roman" w:hAnsi="Calibri" w:cs="Arial"/>
                <w:color w:val="000000"/>
                <w:sz w:val="18"/>
                <w:lang w:eastAsia="en-GB"/>
              </w:rPr>
              <w:t>163</w:t>
            </w:r>
          </w:p>
        </w:tc>
        <w:tc>
          <w:tcPr>
            <w:tcW w:w="1110" w:type="dxa"/>
            <w:tcBorders>
              <w:left w:val="single" w:sz="18" w:space="0" w:color="auto"/>
            </w:tcBorders>
            <w:shd w:val="clear" w:color="000000" w:fill="FFE699"/>
            <w:vAlign w:val="center"/>
          </w:tcPr>
          <w:p w:rsidR="00174BA5" w:rsidRPr="002D3212" w:rsidRDefault="00605429" w:rsidP="002D3212">
            <w:pPr>
              <w:spacing w:after="0" w:line="240" w:lineRule="auto"/>
              <w:jc w:val="center"/>
              <w:rPr>
                <w:rFonts w:ascii="Calibri" w:eastAsia="Times New Roman" w:hAnsi="Calibri" w:cs="Arial"/>
                <w:color w:val="000000"/>
                <w:sz w:val="18"/>
                <w:lang w:eastAsia="en-GB"/>
              </w:rPr>
            </w:pPr>
            <w:r>
              <w:rPr>
                <w:rFonts w:ascii="Calibri" w:eastAsia="Times New Roman" w:hAnsi="Calibri" w:cs="Arial"/>
                <w:color w:val="000000"/>
                <w:sz w:val="18"/>
                <w:lang w:eastAsia="en-GB"/>
              </w:rPr>
              <w:t>-206</w:t>
            </w:r>
          </w:p>
        </w:tc>
        <w:tc>
          <w:tcPr>
            <w:tcW w:w="1110" w:type="dxa"/>
            <w:shd w:val="clear" w:color="000000" w:fill="FFE699"/>
            <w:vAlign w:val="center"/>
          </w:tcPr>
          <w:p w:rsidR="00174BA5" w:rsidRPr="002D3212" w:rsidRDefault="00605429" w:rsidP="002D3212">
            <w:pPr>
              <w:spacing w:after="0" w:line="240" w:lineRule="auto"/>
              <w:jc w:val="center"/>
              <w:rPr>
                <w:rFonts w:ascii="Calibri" w:eastAsia="Times New Roman" w:hAnsi="Calibri" w:cs="Arial"/>
                <w:color w:val="000000"/>
                <w:sz w:val="18"/>
                <w:lang w:eastAsia="en-GB"/>
              </w:rPr>
            </w:pPr>
            <w:r>
              <w:rPr>
                <w:rFonts w:ascii="Calibri" w:eastAsia="Times New Roman" w:hAnsi="Calibri" w:cs="Arial"/>
                <w:color w:val="000000"/>
                <w:sz w:val="18"/>
                <w:lang w:eastAsia="en-GB"/>
              </w:rPr>
              <w:t>-56%</w:t>
            </w:r>
          </w:p>
        </w:tc>
      </w:tr>
      <w:tr w:rsidR="002D3212" w:rsidRPr="002D3212" w:rsidTr="007E4893">
        <w:trPr>
          <w:trHeight w:val="429"/>
        </w:trPr>
        <w:tc>
          <w:tcPr>
            <w:tcW w:w="4721"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01B Weapons</w:t>
            </w:r>
          </w:p>
        </w:tc>
        <w:tc>
          <w:tcPr>
            <w:tcW w:w="1110" w:type="dxa"/>
            <w:tcBorders>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46</w:t>
            </w:r>
          </w:p>
        </w:tc>
        <w:tc>
          <w:tcPr>
            <w:tcW w:w="1110" w:type="dxa"/>
            <w:tcBorders>
              <w:left w:val="single" w:sz="18" w:space="0" w:color="auto"/>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54</w:t>
            </w:r>
          </w:p>
        </w:tc>
        <w:tc>
          <w:tcPr>
            <w:tcW w:w="1110" w:type="dxa"/>
            <w:tcBorders>
              <w:lef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8</w:t>
            </w:r>
          </w:p>
        </w:tc>
        <w:tc>
          <w:tcPr>
            <w:tcW w:w="1110"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17%</w:t>
            </w:r>
          </w:p>
        </w:tc>
      </w:tr>
      <w:tr w:rsidR="00BD701D" w:rsidRPr="002D3212" w:rsidTr="007E4893">
        <w:trPr>
          <w:trHeight w:val="477"/>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02A Sexual Offences</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47</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12</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-35</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-74%</w:t>
            </w:r>
          </w:p>
        </w:tc>
      </w:tr>
      <w:tr w:rsidR="00BD701D" w:rsidRPr="002D3212" w:rsidTr="007E4893">
        <w:trPr>
          <w:trHeight w:val="717"/>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03A Criminal Damage / Malicious Mischief</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227</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229</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2</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w:t>
            </w:r>
          </w:p>
        </w:tc>
      </w:tr>
      <w:tr w:rsidR="002D3212" w:rsidRPr="002D3212" w:rsidTr="007E4893">
        <w:trPr>
          <w:trHeight w:val="453"/>
        </w:trPr>
        <w:tc>
          <w:tcPr>
            <w:tcW w:w="4721"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03A Criminal Damage</w:t>
            </w:r>
          </w:p>
        </w:tc>
        <w:tc>
          <w:tcPr>
            <w:tcW w:w="1110" w:type="dxa"/>
            <w:tcBorders>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174</w:t>
            </w:r>
          </w:p>
        </w:tc>
        <w:tc>
          <w:tcPr>
            <w:tcW w:w="1110" w:type="dxa"/>
            <w:tcBorders>
              <w:left w:val="single" w:sz="18" w:space="0" w:color="auto"/>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141</w:t>
            </w:r>
          </w:p>
        </w:tc>
        <w:tc>
          <w:tcPr>
            <w:tcW w:w="1110" w:type="dxa"/>
            <w:tcBorders>
              <w:lef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-33</w:t>
            </w:r>
          </w:p>
        </w:tc>
        <w:tc>
          <w:tcPr>
            <w:tcW w:w="1110"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-19%</w:t>
            </w:r>
          </w:p>
        </w:tc>
      </w:tr>
      <w:tr w:rsidR="002D3212" w:rsidRPr="002D3212" w:rsidTr="007E4893">
        <w:trPr>
          <w:trHeight w:val="453"/>
        </w:trPr>
        <w:tc>
          <w:tcPr>
            <w:tcW w:w="4721"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03B Graffiti</w:t>
            </w:r>
          </w:p>
        </w:tc>
        <w:tc>
          <w:tcPr>
            <w:tcW w:w="1110" w:type="dxa"/>
            <w:tcBorders>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53</w:t>
            </w:r>
          </w:p>
        </w:tc>
        <w:tc>
          <w:tcPr>
            <w:tcW w:w="1110" w:type="dxa"/>
            <w:tcBorders>
              <w:left w:val="single" w:sz="18" w:space="0" w:color="auto"/>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88</w:t>
            </w:r>
          </w:p>
        </w:tc>
        <w:tc>
          <w:tcPr>
            <w:tcW w:w="1110" w:type="dxa"/>
            <w:tcBorders>
              <w:lef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35</w:t>
            </w:r>
          </w:p>
        </w:tc>
        <w:tc>
          <w:tcPr>
            <w:tcW w:w="1110"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66%</w:t>
            </w:r>
          </w:p>
        </w:tc>
      </w:tr>
      <w:tr w:rsidR="00BD701D" w:rsidRPr="002D3212" w:rsidTr="007E4893">
        <w:trPr>
          <w:trHeight w:val="406"/>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04A Serious Line of Route Offences</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49</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40</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-9</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-18%</w:t>
            </w:r>
          </w:p>
        </w:tc>
      </w:tr>
      <w:tr w:rsidR="00BD701D" w:rsidRPr="002D3212" w:rsidTr="007E4893">
        <w:trPr>
          <w:trHeight w:val="406"/>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05A Theft of Passenger Property</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225</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70</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-155</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-69%</w:t>
            </w:r>
          </w:p>
        </w:tc>
      </w:tr>
      <w:tr w:rsidR="00BD701D" w:rsidRPr="002D3212" w:rsidTr="007E4893">
        <w:trPr>
          <w:trHeight w:val="453"/>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06A Motor Vehicle / Cycle Offences</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115</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68</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-47</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-41%</w:t>
            </w:r>
          </w:p>
        </w:tc>
      </w:tr>
      <w:tr w:rsidR="002D3212" w:rsidRPr="002D3212" w:rsidTr="007E4893">
        <w:trPr>
          <w:trHeight w:val="501"/>
        </w:trPr>
        <w:tc>
          <w:tcPr>
            <w:tcW w:w="4721"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06A Motor Vehicle</w:t>
            </w:r>
          </w:p>
        </w:tc>
        <w:tc>
          <w:tcPr>
            <w:tcW w:w="1110" w:type="dxa"/>
            <w:tcBorders>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36</w:t>
            </w:r>
          </w:p>
        </w:tc>
        <w:tc>
          <w:tcPr>
            <w:tcW w:w="1110" w:type="dxa"/>
            <w:tcBorders>
              <w:left w:val="single" w:sz="18" w:space="0" w:color="auto"/>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29</w:t>
            </w:r>
          </w:p>
        </w:tc>
        <w:tc>
          <w:tcPr>
            <w:tcW w:w="1110" w:type="dxa"/>
            <w:tcBorders>
              <w:lef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-7</w:t>
            </w:r>
          </w:p>
        </w:tc>
        <w:tc>
          <w:tcPr>
            <w:tcW w:w="1110"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-19%</w:t>
            </w:r>
          </w:p>
        </w:tc>
      </w:tr>
      <w:tr w:rsidR="002D3212" w:rsidRPr="002D3212" w:rsidTr="007E4893">
        <w:trPr>
          <w:trHeight w:val="453"/>
        </w:trPr>
        <w:tc>
          <w:tcPr>
            <w:tcW w:w="4721"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06B Pedal Cycle</w:t>
            </w:r>
          </w:p>
        </w:tc>
        <w:tc>
          <w:tcPr>
            <w:tcW w:w="1110" w:type="dxa"/>
            <w:tcBorders>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79</w:t>
            </w:r>
          </w:p>
        </w:tc>
        <w:tc>
          <w:tcPr>
            <w:tcW w:w="1110" w:type="dxa"/>
            <w:tcBorders>
              <w:left w:val="single" w:sz="18" w:space="0" w:color="auto"/>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39</w:t>
            </w:r>
          </w:p>
        </w:tc>
        <w:tc>
          <w:tcPr>
            <w:tcW w:w="1110" w:type="dxa"/>
            <w:tcBorders>
              <w:lef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-40</w:t>
            </w:r>
          </w:p>
        </w:tc>
        <w:tc>
          <w:tcPr>
            <w:tcW w:w="1110"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-51%</w:t>
            </w:r>
          </w:p>
        </w:tc>
      </w:tr>
      <w:tr w:rsidR="00BD701D" w:rsidRPr="002D3212" w:rsidTr="007E4893">
        <w:trPr>
          <w:trHeight w:val="526"/>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07A Robbery Offences</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8</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-50%</w:t>
            </w:r>
          </w:p>
        </w:tc>
      </w:tr>
      <w:tr w:rsidR="00BD701D" w:rsidRPr="002D3212" w:rsidTr="007E4893">
        <w:trPr>
          <w:trHeight w:val="982"/>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08A Theft of Railway / Commercial Property &amp; Burglary</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134</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86</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-48</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-36%</w:t>
            </w:r>
          </w:p>
        </w:tc>
      </w:tr>
      <w:tr w:rsidR="002D3212" w:rsidRPr="002D3212" w:rsidTr="007E4893">
        <w:trPr>
          <w:trHeight w:val="477"/>
        </w:trPr>
        <w:tc>
          <w:tcPr>
            <w:tcW w:w="4721"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08A Burglary &amp; Theft Railway</w:t>
            </w:r>
          </w:p>
        </w:tc>
        <w:tc>
          <w:tcPr>
            <w:tcW w:w="1110" w:type="dxa"/>
            <w:tcBorders>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97</w:t>
            </w:r>
          </w:p>
        </w:tc>
        <w:tc>
          <w:tcPr>
            <w:tcW w:w="1110" w:type="dxa"/>
            <w:tcBorders>
              <w:left w:val="single" w:sz="18" w:space="0" w:color="auto"/>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49</w:t>
            </w:r>
          </w:p>
        </w:tc>
        <w:tc>
          <w:tcPr>
            <w:tcW w:w="1110" w:type="dxa"/>
            <w:tcBorders>
              <w:lef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-48</w:t>
            </w:r>
          </w:p>
        </w:tc>
        <w:tc>
          <w:tcPr>
            <w:tcW w:w="1110"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-49%</w:t>
            </w:r>
          </w:p>
        </w:tc>
      </w:tr>
      <w:tr w:rsidR="002D3212" w:rsidRPr="002D3212" w:rsidTr="007E4893">
        <w:trPr>
          <w:trHeight w:val="453"/>
        </w:trPr>
        <w:tc>
          <w:tcPr>
            <w:tcW w:w="4721"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08B Theft Cable &amp; Plant</w:t>
            </w:r>
          </w:p>
        </w:tc>
        <w:tc>
          <w:tcPr>
            <w:tcW w:w="1110" w:type="dxa"/>
            <w:tcBorders>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37</w:t>
            </w:r>
          </w:p>
        </w:tc>
        <w:tc>
          <w:tcPr>
            <w:tcW w:w="1110" w:type="dxa"/>
            <w:tcBorders>
              <w:left w:val="single" w:sz="18" w:space="0" w:color="auto"/>
              <w:righ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37</w:t>
            </w:r>
          </w:p>
        </w:tc>
        <w:tc>
          <w:tcPr>
            <w:tcW w:w="1110" w:type="dxa"/>
            <w:tcBorders>
              <w:left w:val="single" w:sz="18" w:space="0" w:color="auto"/>
            </w:tcBorders>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w:t>
            </w:r>
          </w:p>
        </w:tc>
        <w:tc>
          <w:tcPr>
            <w:tcW w:w="1110" w:type="dxa"/>
            <w:shd w:val="clear" w:color="000000" w:fill="FFE699"/>
            <w:vAlign w:val="center"/>
            <w:hideMark/>
          </w:tcPr>
          <w:p w:rsidR="002D3212" w:rsidRPr="002D3212" w:rsidRDefault="002D3212" w:rsidP="002D3212">
            <w:pPr>
              <w:spacing w:after="0" w:line="240" w:lineRule="auto"/>
              <w:jc w:val="center"/>
              <w:rPr>
                <w:rFonts w:ascii="Calibri" w:eastAsia="Times New Roman" w:hAnsi="Calibri" w:cs="Arial"/>
                <w:color w:val="000000"/>
                <w:sz w:val="18"/>
                <w:szCs w:val="20"/>
                <w:lang w:eastAsia="en-GB"/>
              </w:rPr>
            </w:pPr>
            <w:r w:rsidRPr="002D3212">
              <w:rPr>
                <w:rFonts w:ascii="Calibri" w:eastAsia="Times New Roman" w:hAnsi="Calibri" w:cs="Arial"/>
                <w:color w:val="000000"/>
                <w:sz w:val="18"/>
                <w:lang w:eastAsia="en-GB"/>
              </w:rPr>
              <w:t>0%</w:t>
            </w:r>
          </w:p>
        </w:tc>
      </w:tr>
      <w:tr w:rsidR="00BD701D" w:rsidRPr="002D3212" w:rsidTr="007E4893">
        <w:trPr>
          <w:trHeight w:val="453"/>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09A Serious Public Disorder Offences</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9</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9</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0%</w:t>
            </w:r>
          </w:p>
        </w:tc>
      </w:tr>
      <w:tr w:rsidR="00BD701D" w:rsidRPr="002D3212" w:rsidTr="007E4893">
        <w:trPr>
          <w:trHeight w:val="501"/>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10A Serious Fraud Offences</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13</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8</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-5</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-38%</w:t>
            </w:r>
          </w:p>
        </w:tc>
      </w:tr>
      <w:tr w:rsidR="00BD701D" w:rsidRPr="002D3212" w:rsidTr="007E4893">
        <w:trPr>
          <w:trHeight w:val="549"/>
        </w:trPr>
        <w:tc>
          <w:tcPr>
            <w:tcW w:w="4721"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11A Drug Offences</w:t>
            </w:r>
          </w:p>
        </w:tc>
        <w:tc>
          <w:tcPr>
            <w:tcW w:w="1110" w:type="dxa"/>
            <w:tcBorders>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83</w:t>
            </w:r>
          </w:p>
        </w:tc>
        <w:tc>
          <w:tcPr>
            <w:tcW w:w="1110" w:type="dxa"/>
            <w:tcBorders>
              <w:left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129</w:t>
            </w:r>
          </w:p>
        </w:tc>
        <w:tc>
          <w:tcPr>
            <w:tcW w:w="1110" w:type="dxa"/>
            <w:tcBorders>
              <w:lef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46</w:t>
            </w:r>
          </w:p>
        </w:tc>
        <w:tc>
          <w:tcPr>
            <w:tcW w:w="1110" w:type="dxa"/>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55%</w:t>
            </w:r>
          </w:p>
        </w:tc>
      </w:tr>
      <w:tr w:rsidR="00BD701D" w:rsidRPr="002D3212" w:rsidTr="007E4893">
        <w:trPr>
          <w:trHeight w:val="526"/>
        </w:trPr>
        <w:tc>
          <w:tcPr>
            <w:tcW w:w="4721" w:type="dxa"/>
            <w:tcBorders>
              <w:bottom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12A Other Serious Offences</w:t>
            </w:r>
          </w:p>
        </w:tc>
        <w:tc>
          <w:tcPr>
            <w:tcW w:w="1110" w:type="dxa"/>
            <w:tcBorders>
              <w:bottom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48</w:t>
            </w:r>
          </w:p>
        </w:tc>
        <w:tc>
          <w:tcPr>
            <w:tcW w:w="1110" w:type="dxa"/>
            <w:tcBorders>
              <w:left w:val="single" w:sz="18" w:space="0" w:color="auto"/>
              <w:bottom w:val="single" w:sz="18" w:space="0" w:color="auto"/>
              <w:right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43</w:t>
            </w:r>
          </w:p>
        </w:tc>
        <w:tc>
          <w:tcPr>
            <w:tcW w:w="1110" w:type="dxa"/>
            <w:tcBorders>
              <w:left w:val="single" w:sz="18" w:space="0" w:color="auto"/>
              <w:bottom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-5</w:t>
            </w:r>
          </w:p>
        </w:tc>
        <w:tc>
          <w:tcPr>
            <w:tcW w:w="1110" w:type="dxa"/>
            <w:tcBorders>
              <w:bottom w:val="single" w:sz="18" w:space="0" w:color="auto"/>
            </w:tcBorders>
            <w:shd w:val="clear" w:color="auto" w:fill="auto"/>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-10%</w:t>
            </w:r>
          </w:p>
        </w:tc>
      </w:tr>
      <w:tr w:rsidR="002D3212" w:rsidRPr="002D3212" w:rsidTr="007E4893">
        <w:trPr>
          <w:trHeight w:val="477"/>
        </w:trPr>
        <w:tc>
          <w:tcPr>
            <w:tcW w:w="4721" w:type="dxa"/>
            <w:tcBorders>
              <w:top w:val="single" w:sz="18" w:space="0" w:color="auto"/>
              <w:bottom w:val="single" w:sz="18" w:space="0" w:color="auto"/>
            </w:tcBorders>
            <w:shd w:val="clear" w:color="000000" w:fill="D6DCE5"/>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Grand Total</w:t>
            </w:r>
          </w:p>
        </w:tc>
        <w:tc>
          <w:tcPr>
            <w:tcW w:w="1110" w:type="dxa"/>
            <w:tcBorders>
              <w:top w:val="single" w:sz="18" w:space="0" w:color="auto"/>
              <w:bottom w:val="single" w:sz="18" w:space="0" w:color="auto"/>
              <w:right w:val="single" w:sz="18" w:space="0" w:color="auto"/>
            </w:tcBorders>
            <w:shd w:val="clear" w:color="000000" w:fill="D6DCE5"/>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1373</w:t>
            </w:r>
          </w:p>
        </w:tc>
        <w:tc>
          <w:tcPr>
            <w:tcW w:w="1110" w:type="dxa"/>
            <w:tcBorders>
              <w:top w:val="single" w:sz="18" w:space="0" w:color="auto"/>
              <w:left w:val="single" w:sz="18" w:space="0" w:color="auto"/>
              <w:bottom w:val="single" w:sz="18" w:space="0" w:color="auto"/>
              <w:right w:val="single" w:sz="18" w:space="0" w:color="auto"/>
            </w:tcBorders>
            <w:shd w:val="clear" w:color="000000" w:fill="D6DCE5"/>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961</w:t>
            </w:r>
          </w:p>
        </w:tc>
        <w:tc>
          <w:tcPr>
            <w:tcW w:w="1110" w:type="dxa"/>
            <w:tcBorders>
              <w:top w:val="single" w:sz="18" w:space="0" w:color="auto"/>
              <w:left w:val="single" w:sz="18" w:space="0" w:color="auto"/>
              <w:bottom w:val="single" w:sz="18" w:space="0" w:color="auto"/>
            </w:tcBorders>
            <w:shd w:val="clear" w:color="000000" w:fill="D6DCE5"/>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-412</w:t>
            </w:r>
          </w:p>
        </w:tc>
        <w:tc>
          <w:tcPr>
            <w:tcW w:w="1110" w:type="dxa"/>
            <w:tcBorders>
              <w:top w:val="single" w:sz="18" w:space="0" w:color="auto"/>
              <w:bottom w:val="single" w:sz="18" w:space="0" w:color="auto"/>
            </w:tcBorders>
            <w:shd w:val="clear" w:color="000000" w:fill="D6DCE5"/>
            <w:vAlign w:val="center"/>
            <w:hideMark/>
          </w:tcPr>
          <w:p w:rsidR="002D3212" w:rsidRPr="002D3212" w:rsidRDefault="002D3212" w:rsidP="002D3212">
            <w:pPr>
              <w:spacing w:after="0" w:line="240" w:lineRule="auto"/>
              <w:jc w:val="center"/>
              <w:rPr>
                <w:rFonts w:ascii="Calibri" w:eastAsia="Times New Roman" w:hAnsi="Calibri" w:cs="Arial"/>
                <w:b/>
                <w:bCs/>
                <w:color w:val="000000"/>
                <w:sz w:val="20"/>
                <w:szCs w:val="20"/>
                <w:lang w:eastAsia="en-GB"/>
              </w:rPr>
            </w:pPr>
            <w:r w:rsidRPr="002D3212">
              <w:rPr>
                <w:rFonts w:ascii="Calibri" w:eastAsia="Times New Roman" w:hAnsi="Calibri" w:cs="Arial"/>
                <w:b/>
                <w:bCs/>
                <w:color w:val="000000"/>
                <w:sz w:val="20"/>
                <w:lang w:eastAsia="en-GB"/>
              </w:rPr>
              <w:t>-30%</w:t>
            </w:r>
          </w:p>
        </w:tc>
      </w:tr>
    </w:tbl>
    <w:p w:rsidR="004A5EF1" w:rsidRDefault="004A5EF1" w:rsidP="00714602"/>
    <w:sectPr w:rsidR="004A5E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BB" w:rsidRDefault="007450BB" w:rsidP="000B7575">
      <w:pPr>
        <w:spacing w:after="0" w:line="240" w:lineRule="auto"/>
      </w:pPr>
      <w:r>
        <w:separator/>
      </w:r>
    </w:p>
  </w:endnote>
  <w:endnote w:type="continuationSeparator" w:id="0">
    <w:p w:rsidR="007450BB" w:rsidRDefault="007450BB" w:rsidP="000B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BB" w:rsidRDefault="007450BB" w:rsidP="000B7575">
      <w:pPr>
        <w:spacing w:after="0" w:line="240" w:lineRule="auto"/>
      </w:pPr>
      <w:r>
        <w:separator/>
      </w:r>
    </w:p>
  </w:footnote>
  <w:footnote w:type="continuationSeparator" w:id="0">
    <w:p w:rsidR="007450BB" w:rsidRDefault="007450BB" w:rsidP="000B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1386"/>
    <w:multiLevelType w:val="hybridMultilevel"/>
    <w:tmpl w:val="4FEC9C22"/>
    <w:lvl w:ilvl="0" w:tplc="3A0672A0">
      <w:start w:val="1"/>
      <w:numFmt w:val="bullet"/>
      <w:lvlText w:val="•"/>
      <w:lvlJc w:val="left"/>
      <w:pPr>
        <w:tabs>
          <w:tab w:val="num" w:pos="720"/>
        </w:tabs>
        <w:ind w:left="720" w:hanging="360"/>
      </w:pPr>
      <w:rPr>
        <w:rFonts w:ascii="Arial" w:hAnsi="Arial" w:hint="default"/>
      </w:rPr>
    </w:lvl>
    <w:lvl w:ilvl="1" w:tplc="DF622FAC" w:tentative="1">
      <w:start w:val="1"/>
      <w:numFmt w:val="bullet"/>
      <w:lvlText w:val="•"/>
      <w:lvlJc w:val="left"/>
      <w:pPr>
        <w:tabs>
          <w:tab w:val="num" w:pos="1440"/>
        </w:tabs>
        <w:ind w:left="1440" w:hanging="360"/>
      </w:pPr>
      <w:rPr>
        <w:rFonts w:ascii="Arial" w:hAnsi="Arial" w:hint="default"/>
      </w:rPr>
    </w:lvl>
    <w:lvl w:ilvl="2" w:tplc="3664F0F4" w:tentative="1">
      <w:start w:val="1"/>
      <w:numFmt w:val="bullet"/>
      <w:lvlText w:val="•"/>
      <w:lvlJc w:val="left"/>
      <w:pPr>
        <w:tabs>
          <w:tab w:val="num" w:pos="2160"/>
        </w:tabs>
        <w:ind w:left="2160" w:hanging="360"/>
      </w:pPr>
      <w:rPr>
        <w:rFonts w:ascii="Arial" w:hAnsi="Arial" w:hint="default"/>
      </w:rPr>
    </w:lvl>
    <w:lvl w:ilvl="3" w:tplc="5F42EF04" w:tentative="1">
      <w:start w:val="1"/>
      <w:numFmt w:val="bullet"/>
      <w:lvlText w:val="•"/>
      <w:lvlJc w:val="left"/>
      <w:pPr>
        <w:tabs>
          <w:tab w:val="num" w:pos="2880"/>
        </w:tabs>
        <w:ind w:left="2880" w:hanging="360"/>
      </w:pPr>
      <w:rPr>
        <w:rFonts w:ascii="Arial" w:hAnsi="Arial" w:hint="default"/>
      </w:rPr>
    </w:lvl>
    <w:lvl w:ilvl="4" w:tplc="217CDCC0" w:tentative="1">
      <w:start w:val="1"/>
      <w:numFmt w:val="bullet"/>
      <w:lvlText w:val="•"/>
      <w:lvlJc w:val="left"/>
      <w:pPr>
        <w:tabs>
          <w:tab w:val="num" w:pos="3600"/>
        </w:tabs>
        <w:ind w:left="3600" w:hanging="360"/>
      </w:pPr>
      <w:rPr>
        <w:rFonts w:ascii="Arial" w:hAnsi="Arial" w:hint="default"/>
      </w:rPr>
    </w:lvl>
    <w:lvl w:ilvl="5" w:tplc="49EE889C" w:tentative="1">
      <w:start w:val="1"/>
      <w:numFmt w:val="bullet"/>
      <w:lvlText w:val="•"/>
      <w:lvlJc w:val="left"/>
      <w:pPr>
        <w:tabs>
          <w:tab w:val="num" w:pos="4320"/>
        </w:tabs>
        <w:ind w:left="4320" w:hanging="360"/>
      </w:pPr>
      <w:rPr>
        <w:rFonts w:ascii="Arial" w:hAnsi="Arial" w:hint="default"/>
      </w:rPr>
    </w:lvl>
    <w:lvl w:ilvl="6" w:tplc="3C84E96C" w:tentative="1">
      <w:start w:val="1"/>
      <w:numFmt w:val="bullet"/>
      <w:lvlText w:val="•"/>
      <w:lvlJc w:val="left"/>
      <w:pPr>
        <w:tabs>
          <w:tab w:val="num" w:pos="5040"/>
        </w:tabs>
        <w:ind w:left="5040" w:hanging="360"/>
      </w:pPr>
      <w:rPr>
        <w:rFonts w:ascii="Arial" w:hAnsi="Arial" w:hint="default"/>
      </w:rPr>
    </w:lvl>
    <w:lvl w:ilvl="7" w:tplc="566012E6" w:tentative="1">
      <w:start w:val="1"/>
      <w:numFmt w:val="bullet"/>
      <w:lvlText w:val="•"/>
      <w:lvlJc w:val="left"/>
      <w:pPr>
        <w:tabs>
          <w:tab w:val="num" w:pos="5760"/>
        </w:tabs>
        <w:ind w:left="5760" w:hanging="360"/>
      </w:pPr>
      <w:rPr>
        <w:rFonts w:ascii="Arial" w:hAnsi="Arial" w:hint="default"/>
      </w:rPr>
    </w:lvl>
    <w:lvl w:ilvl="8" w:tplc="601ED3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9840C8"/>
    <w:multiLevelType w:val="hybridMultilevel"/>
    <w:tmpl w:val="E1A8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72D49"/>
    <w:multiLevelType w:val="hybridMultilevel"/>
    <w:tmpl w:val="F5EC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B793C"/>
    <w:multiLevelType w:val="hybridMultilevel"/>
    <w:tmpl w:val="0EC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232ED"/>
    <w:multiLevelType w:val="hybridMultilevel"/>
    <w:tmpl w:val="7CE87064"/>
    <w:lvl w:ilvl="0" w:tplc="BF580C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2A1C43"/>
    <w:multiLevelType w:val="hybridMultilevel"/>
    <w:tmpl w:val="C648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2558A"/>
    <w:multiLevelType w:val="hybridMultilevel"/>
    <w:tmpl w:val="B352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2B"/>
    <w:rsid w:val="000315B9"/>
    <w:rsid w:val="00033B7F"/>
    <w:rsid w:val="00036953"/>
    <w:rsid w:val="00044231"/>
    <w:rsid w:val="000629FB"/>
    <w:rsid w:val="0006338D"/>
    <w:rsid w:val="00065C10"/>
    <w:rsid w:val="000774CB"/>
    <w:rsid w:val="00085155"/>
    <w:rsid w:val="0008704E"/>
    <w:rsid w:val="00091E35"/>
    <w:rsid w:val="000A4B16"/>
    <w:rsid w:val="000B7575"/>
    <w:rsid w:val="000C21CE"/>
    <w:rsid w:val="000D3829"/>
    <w:rsid w:val="000F0903"/>
    <w:rsid w:val="000F6F84"/>
    <w:rsid w:val="0010648A"/>
    <w:rsid w:val="00107733"/>
    <w:rsid w:val="00125E5D"/>
    <w:rsid w:val="001279BE"/>
    <w:rsid w:val="001421F5"/>
    <w:rsid w:val="00154F6E"/>
    <w:rsid w:val="00165D34"/>
    <w:rsid w:val="00170ED8"/>
    <w:rsid w:val="00174BA5"/>
    <w:rsid w:val="001864BF"/>
    <w:rsid w:val="00194F32"/>
    <w:rsid w:val="001C3B83"/>
    <w:rsid w:val="001F6CC5"/>
    <w:rsid w:val="001F7E98"/>
    <w:rsid w:val="00201E62"/>
    <w:rsid w:val="00220633"/>
    <w:rsid w:val="00227BBD"/>
    <w:rsid w:val="00276E3D"/>
    <w:rsid w:val="002D3212"/>
    <w:rsid w:val="002D5360"/>
    <w:rsid w:val="002E0D84"/>
    <w:rsid w:val="002E2CCF"/>
    <w:rsid w:val="002E5B88"/>
    <w:rsid w:val="002E6357"/>
    <w:rsid w:val="002E6891"/>
    <w:rsid w:val="002F4DE1"/>
    <w:rsid w:val="00320F78"/>
    <w:rsid w:val="00327FEE"/>
    <w:rsid w:val="00334BF1"/>
    <w:rsid w:val="0033726F"/>
    <w:rsid w:val="00343D88"/>
    <w:rsid w:val="003473E4"/>
    <w:rsid w:val="00365914"/>
    <w:rsid w:val="00386AA1"/>
    <w:rsid w:val="003872BA"/>
    <w:rsid w:val="00390423"/>
    <w:rsid w:val="00394D41"/>
    <w:rsid w:val="00395BFD"/>
    <w:rsid w:val="003973F2"/>
    <w:rsid w:val="003A3F7B"/>
    <w:rsid w:val="003A74D6"/>
    <w:rsid w:val="003D7BE4"/>
    <w:rsid w:val="003E3108"/>
    <w:rsid w:val="003F676C"/>
    <w:rsid w:val="0041058B"/>
    <w:rsid w:val="004205F7"/>
    <w:rsid w:val="00437FED"/>
    <w:rsid w:val="00446C0B"/>
    <w:rsid w:val="00455662"/>
    <w:rsid w:val="0045770A"/>
    <w:rsid w:val="00495D76"/>
    <w:rsid w:val="004970CA"/>
    <w:rsid w:val="004A5EF1"/>
    <w:rsid w:val="004D46D3"/>
    <w:rsid w:val="004E449B"/>
    <w:rsid w:val="004F452B"/>
    <w:rsid w:val="00500BB6"/>
    <w:rsid w:val="005120BC"/>
    <w:rsid w:val="00512C0F"/>
    <w:rsid w:val="0052356B"/>
    <w:rsid w:val="00541AEB"/>
    <w:rsid w:val="00555EA8"/>
    <w:rsid w:val="00563815"/>
    <w:rsid w:val="005B684E"/>
    <w:rsid w:val="005D6162"/>
    <w:rsid w:val="005F09E9"/>
    <w:rsid w:val="005F0E2C"/>
    <w:rsid w:val="005F6AA6"/>
    <w:rsid w:val="0060467F"/>
    <w:rsid w:val="00604688"/>
    <w:rsid w:val="00605429"/>
    <w:rsid w:val="00605D97"/>
    <w:rsid w:val="00614709"/>
    <w:rsid w:val="00644460"/>
    <w:rsid w:val="0064463C"/>
    <w:rsid w:val="00651642"/>
    <w:rsid w:val="00652984"/>
    <w:rsid w:val="00657BDA"/>
    <w:rsid w:val="00662C74"/>
    <w:rsid w:val="00663D69"/>
    <w:rsid w:val="00664473"/>
    <w:rsid w:val="0067377B"/>
    <w:rsid w:val="006746A2"/>
    <w:rsid w:val="00675130"/>
    <w:rsid w:val="006920C6"/>
    <w:rsid w:val="006934CB"/>
    <w:rsid w:val="006A0BB4"/>
    <w:rsid w:val="006B02EA"/>
    <w:rsid w:val="006B4003"/>
    <w:rsid w:val="006C14C4"/>
    <w:rsid w:val="006D7A89"/>
    <w:rsid w:val="006E4A63"/>
    <w:rsid w:val="006F28D6"/>
    <w:rsid w:val="00714602"/>
    <w:rsid w:val="00721B87"/>
    <w:rsid w:val="00721D24"/>
    <w:rsid w:val="00723398"/>
    <w:rsid w:val="00725C01"/>
    <w:rsid w:val="00730D2B"/>
    <w:rsid w:val="007450BB"/>
    <w:rsid w:val="00770908"/>
    <w:rsid w:val="00781148"/>
    <w:rsid w:val="00796C52"/>
    <w:rsid w:val="007C7908"/>
    <w:rsid w:val="007E4893"/>
    <w:rsid w:val="007E61BF"/>
    <w:rsid w:val="007E7E6B"/>
    <w:rsid w:val="007F5380"/>
    <w:rsid w:val="007F7CAC"/>
    <w:rsid w:val="00800B47"/>
    <w:rsid w:val="00801ACE"/>
    <w:rsid w:val="00824DBB"/>
    <w:rsid w:val="00841C87"/>
    <w:rsid w:val="00844A06"/>
    <w:rsid w:val="00852714"/>
    <w:rsid w:val="00857F49"/>
    <w:rsid w:val="008948D7"/>
    <w:rsid w:val="008966A5"/>
    <w:rsid w:val="008C09B9"/>
    <w:rsid w:val="008C2C42"/>
    <w:rsid w:val="008C3A1E"/>
    <w:rsid w:val="008C7640"/>
    <w:rsid w:val="008D039F"/>
    <w:rsid w:val="008F48F4"/>
    <w:rsid w:val="00907269"/>
    <w:rsid w:val="009173F3"/>
    <w:rsid w:val="0093448B"/>
    <w:rsid w:val="009426A0"/>
    <w:rsid w:val="00944E01"/>
    <w:rsid w:val="009477A6"/>
    <w:rsid w:val="0095356C"/>
    <w:rsid w:val="009620DF"/>
    <w:rsid w:val="00963D73"/>
    <w:rsid w:val="00964500"/>
    <w:rsid w:val="00985AF1"/>
    <w:rsid w:val="009866C2"/>
    <w:rsid w:val="00991936"/>
    <w:rsid w:val="009A1128"/>
    <w:rsid w:val="009C4AF1"/>
    <w:rsid w:val="009D4799"/>
    <w:rsid w:val="00A032CF"/>
    <w:rsid w:val="00A1191D"/>
    <w:rsid w:val="00A15EC4"/>
    <w:rsid w:val="00A26B55"/>
    <w:rsid w:val="00A41B01"/>
    <w:rsid w:val="00A44197"/>
    <w:rsid w:val="00A468CE"/>
    <w:rsid w:val="00A51ABE"/>
    <w:rsid w:val="00A55127"/>
    <w:rsid w:val="00A751EA"/>
    <w:rsid w:val="00A82CEA"/>
    <w:rsid w:val="00A87701"/>
    <w:rsid w:val="00A912DE"/>
    <w:rsid w:val="00A9690C"/>
    <w:rsid w:val="00AA2DF0"/>
    <w:rsid w:val="00AA5C64"/>
    <w:rsid w:val="00AC4AB5"/>
    <w:rsid w:val="00AD51C8"/>
    <w:rsid w:val="00AE7842"/>
    <w:rsid w:val="00AF410C"/>
    <w:rsid w:val="00B066C5"/>
    <w:rsid w:val="00B410EE"/>
    <w:rsid w:val="00B430B4"/>
    <w:rsid w:val="00B6110C"/>
    <w:rsid w:val="00B8427E"/>
    <w:rsid w:val="00B871B3"/>
    <w:rsid w:val="00B87F36"/>
    <w:rsid w:val="00B90580"/>
    <w:rsid w:val="00B96B90"/>
    <w:rsid w:val="00BD035E"/>
    <w:rsid w:val="00BD701D"/>
    <w:rsid w:val="00BF6E04"/>
    <w:rsid w:val="00BF7FEE"/>
    <w:rsid w:val="00C11791"/>
    <w:rsid w:val="00C25A96"/>
    <w:rsid w:val="00C32769"/>
    <w:rsid w:val="00C34CAF"/>
    <w:rsid w:val="00C73A19"/>
    <w:rsid w:val="00C9011A"/>
    <w:rsid w:val="00CB0060"/>
    <w:rsid w:val="00CB3B7D"/>
    <w:rsid w:val="00CC35D8"/>
    <w:rsid w:val="00D041C8"/>
    <w:rsid w:val="00D05005"/>
    <w:rsid w:val="00D12117"/>
    <w:rsid w:val="00D247D4"/>
    <w:rsid w:val="00D30DDE"/>
    <w:rsid w:val="00D614B3"/>
    <w:rsid w:val="00D63A86"/>
    <w:rsid w:val="00D75B67"/>
    <w:rsid w:val="00D87CFB"/>
    <w:rsid w:val="00D94703"/>
    <w:rsid w:val="00D97326"/>
    <w:rsid w:val="00DB28FF"/>
    <w:rsid w:val="00DB630F"/>
    <w:rsid w:val="00DD41C4"/>
    <w:rsid w:val="00DE6093"/>
    <w:rsid w:val="00DF2F22"/>
    <w:rsid w:val="00E25096"/>
    <w:rsid w:val="00E268BF"/>
    <w:rsid w:val="00E2714B"/>
    <w:rsid w:val="00E30917"/>
    <w:rsid w:val="00E41322"/>
    <w:rsid w:val="00E43326"/>
    <w:rsid w:val="00E45E5F"/>
    <w:rsid w:val="00E54EBD"/>
    <w:rsid w:val="00E5565D"/>
    <w:rsid w:val="00E74A41"/>
    <w:rsid w:val="00E76FA0"/>
    <w:rsid w:val="00E77955"/>
    <w:rsid w:val="00EB59D4"/>
    <w:rsid w:val="00EC099D"/>
    <w:rsid w:val="00EC587A"/>
    <w:rsid w:val="00F01817"/>
    <w:rsid w:val="00F11E98"/>
    <w:rsid w:val="00F15083"/>
    <w:rsid w:val="00F53B9B"/>
    <w:rsid w:val="00F56685"/>
    <w:rsid w:val="00F652B6"/>
    <w:rsid w:val="00F66621"/>
    <w:rsid w:val="00F77263"/>
    <w:rsid w:val="00FA481A"/>
    <w:rsid w:val="00FA4FBE"/>
    <w:rsid w:val="00FB5978"/>
    <w:rsid w:val="00FB7684"/>
    <w:rsid w:val="00FC1353"/>
    <w:rsid w:val="00FD367A"/>
    <w:rsid w:val="00FE3FE6"/>
    <w:rsid w:val="00FE429B"/>
    <w:rsid w:val="00FE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5B2559"/>
  <w15:chartTrackingRefBased/>
  <w15:docId w15:val="{459E0BB8-82A1-4744-BA00-3D840A7C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C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CEA"/>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ListParagraph">
    <w:name w:val="List Paragraph"/>
    <w:basedOn w:val="Normal"/>
    <w:uiPriority w:val="34"/>
    <w:qFormat/>
    <w:rsid w:val="00EB59D4"/>
    <w:pPr>
      <w:ind w:left="720"/>
      <w:contextualSpacing/>
    </w:pPr>
  </w:style>
  <w:style w:type="paragraph" w:customStyle="1" w:styleId="Pa6">
    <w:name w:val="Pa6"/>
    <w:basedOn w:val="Default"/>
    <w:next w:val="Default"/>
    <w:uiPriority w:val="99"/>
    <w:rsid w:val="00170ED8"/>
    <w:pPr>
      <w:spacing w:line="221" w:lineRule="atLeast"/>
    </w:pPr>
    <w:rPr>
      <w:rFonts w:cstheme="minorBidi"/>
      <w:color w:val="auto"/>
    </w:rPr>
  </w:style>
  <w:style w:type="character" w:styleId="CommentReference">
    <w:name w:val="annotation reference"/>
    <w:basedOn w:val="DefaultParagraphFont"/>
    <w:uiPriority w:val="99"/>
    <w:semiHidden/>
    <w:unhideWhenUsed/>
    <w:rsid w:val="00852714"/>
    <w:rPr>
      <w:sz w:val="16"/>
      <w:szCs w:val="16"/>
    </w:rPr>
  </w:style>
  <w:style w:type="paragraph" w:styleId="CommentText">
    <w:name w:val="annotation text"/>
    <w:basedOn w:val="Normal"/>
    <w:link w:val="CommentTextChar"/>
    <w:uiPriority w:val="99"/>
    <w:semiHidden/>
    <w:unhideWhenUsed/>
    <w:rsid w:val="00852714"/>
    <w:pPr>
      <w:spacing w:line="240" w:lineRule="auto"/>
    </w:pPr>
    <w:rPr>
      <w:sz w:val="20"/>
      <w:szCs w:val="20"/>
    </w:rPr>
  </w:style>
  <w:style w:type="character" w:customStyle="1" w:styleId="CommentTextChar">
    <w:name w:val="Comment Text Char"/>
    <w:basedOn w:val="DefaultParagraphFont"/>
    <w:link w:val="CommentText"/>
    <w:uiPriority w:val="99"/>
    <w:semiHidden/>
    <w:rsid w:val="00852714"/>
    <w:rPr>
      <w:sz w:val="20"/>
      <w:szCs w:val="20"/>
    </w:rPr>
  </w:style>
  <w:style w:type="paragraph" w:styleId="CommentSubject">
    <w:name w:val="annotation subject"/>
    <w:basedOn w:val="CommentText"/>
    <w:next w:val="CommentText"/>
    <w:link w:val="CommentSubjectChar"/>
    <w:uiPriority w:val="99"/>
    <w:semiHidden/>
    <w:unhideWhenUsed/>
    <w:rsid w:val="00852714"/>
    <w:rPr>
      <w:b/>
      <w:bCs/>
    </w:rPr>
  </w:style>
  <w:style w:type="character" w:customStyle="1" w:styleId="CommentSubjectChar">
    <w:name w:val="Comment Subject Char"/>
    <w:basedOn w:val="CommentTextChar"/>
    <w:link w:val="CommentSubject"/>
    <w:uiPriority w:val="99"/>
    <w:semiHidden/>
    <w:rsid w:val="00852714"/>
    <w:rPr>
      <w:b/>
      <w:bCs/>
      <w:sz w:val="20"/>
      <w:szCs w:val="20"/>
    </w:rPr>
  </w:style>
  <w:style w:type="paragraph" w:styleId="BalloonText">
    <w:name w:val="Balloon Text"/>
    <w:basedOn w:val="Normal"/>
    <w:link w:val="BalloonTextChar"/>
    <w:uiPriority w:val="99"/>
    <w:semiHidden/>
    <w:unhideWhenUsed/>
    <w:rsid w:val="00852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14"/>
    <w:rPr>
      <w:rFonts w:ascii="Segoe UI" w:hAnsi="Segoe UI" w:cs="Segoe UI"/>
      <w:sz w:val="18"/>
      <w:szCs w:val="18"/>
    </w:rPr>
  </w:style>
  <w:style w:type="character" w:customStyle="1" w:styleId="A8">
    <w:name w:val="A8"/>
    <w:uiPriority w:val="99"/>
    <w:rsid w:val="00B96B90"/>
    <w:rPr>
      <w:rFonts w:cs="Helvetica 55 Roman"/>
      <w:color w:val="000000"/>
    </w:rPr>
  </w:style>
  <w:style w:type="paragraph" w:styleId="NormalWeb">
    <w:name w:val="Normal (Web)"/>
    <w:basedOn w:val="Normal"/>
    <w:uiPriority w:val="99"/>
    <w:semiHidden/>
    <w:unhideWhenUsed/>
    <w:rsid w:val="002D5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B7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575"/>
    <w:rPr>
      <w:sz w:val="20"/>
      <w:szCs w:val="20"/>
    </w:rPr>
  </w:style>
  <w:style w:type="character" w:styleId="FootnoteReference">
    <w:name w:val="footnote reference"/>
    <w:basedOn w:val="DefaultParagraphFont"/>
    <w:uiPriority w:val="99"/>
    <w:semiHidden/>
    <w:unhideWhenUsed/>
    <w:rsid w:val="000B7575"/>
    <w:rPr>
      <w:vertAlign w:val="superscript"/>
    </w:rPr>
  </w:style>
  <w:style w:type="paragraph" w:styleId="Header">
    <w:name w:val="header"/>
    <w:basedOn w:val="Normal"/>
    <w:link w:val="HeaderChar"/>
    <w:uiPriority w:val="99"/>
    <w:unhideWhenUsed/>
    <w:rsid w:val="000B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575"/>
  </w:style>
  <w:style w:type="paragraph" w:styleId="Footer">
    <w:name w:val="footer"/>
    <w:basedOn w:val="Normal"/>
    <w:link w:val="FooterChar"/>
    <w:uiPriority w:val="99"/>
    <w:unhideWhenUsed/>
    <w:rsid w:val="000B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575"/>
  </w:style>
  <w:style w:type="character" w:customStyle="1" w:styleId="btp-rtestyle-h41">
    <w:name w:val="btp-rtestyle-h41"/>
    <w:basedOn w:val="DefaultParagraphFont"/>
    <w:rsid w:val="006D7A8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428">
      <w:bodyDiv w:val="1"/>
      <w:marLeft w:val="0"/>
      <w:marRight w:val="0"/>
      <w:marTop w:val="0"/>
      <w:marBottom w:val="0"/>
      <w:divBdr>
        <w:top w:val="none" w:sz="0" w:space="0" w:color="auto"/>
        <w:left w:val="none" w:sz="0" w:space="0" w:color="auto"/>
        <w:bottom w:val="none" w:sz="0" w:space="0" w:color="auto"/>
        <w:right w:val="none" w:sz="0" w:space="0" w:color="auto"/>
      </w:divBdr>
    </w:div>
    <w:div w:id="7097419">
      <w:bodyDiv w:val="1"/>
      <w:marLeft w:val="0"/>
      <w:marRight w:val="0"/>
      <w:marTop w:val="0"/>
      <w:marBottom w:val="0"/>
      <w:divBdr>
        <w:top w:val="none" w:sz="0" w:space="0" w:color="auto"/>
        <w:left w:val="none" w:sz="0" w:space="0" w:color="auto"/>
        <w:bottom w:val="none" w:sz="0" w:space="0" w:color="auto"/>
        <w:right w:val="none" w:sz="0" w:space="0" w:color="auto"/>
      </w:divBdr>
    </w:div>
    <w:div w:id="49695344">
      <w:bodyDiv w:val="1"/>
      <w:marLeft w:val="0"/>
      <w:marRight w:val="0"/>
      <w:marTop w:val="0"/>
      <w:marBottom w:val="0"/>
      <w:divBdr>
        <w:top w:val="none" w:sz="0" w:space="0" w:color="auto"/>
        <w:left w:val="none" w:sz="0" w:space="0" w:color="auto"/>
        <w:bottom w:val="none" w:sz="0" w:space="0" w:color="auto"/>
        <w:right w:val="none" w:sz="0" w:space="0" w:color="auto"/>
      </w:divBdr>
    </w:div>
    <w:div w:id="208146903">
      <w:bodyDiv w:val="1"/>
      <w:marLeft w:val="0"/>
      <w:marRight w:val="0"/>
      <w:marTop w:val="0"/>
      <w:marBottom w:val="0"/>
      <w:divBdr>
        <w:top w:val="none" w:sz="0" w:space="0" w:color="auto"/>
        <w:left w:val="none" w:sz="0" w:space="0" w:color="auto"/>
        <w:bottom w:val="none" w:sz="0" w:space="0" w:color="auto"/>
        <w:right w:val="none" w:sz="0" w:space="0" w:color="auto"/>
      </w:divBdr>
    </w:div>
    <w:div w:id="224218529">
      <w:bodyDiv w:val="1"/>
      <w:marLeft w:val="0"/>
      <w:marRight w:val="0"/>
      <w:marTop w:val="0"/>
      <w:marBottom w:val="0"/>
      <w:divBdr>
        <w:top w:val="none" w:sz="0" w:space="0" w:color="auto"/>
        <w:left w:val="none" w:sz="0" w:space="0" w:color="auto"/>
        <w:bottom w:val="none" w:sz="0" w:space="0" w:color="auto"/>
        <w:right w:val="none" w:sz="0" w:space="0" w:color="auto"/>
      </w:divBdr>
    </w:div>
    <w:div w:id="224294457">
      <w:bodyDiv w:val="1"/>
      <w:marLeft w:val="0"/>
      <w:marRight w:val="0"/>
      <w:marTop w:val="0"/>
      <w:marBottom w:val="0"/>
      <w:divBdr>
        <w:top w:val="none" w:sz="0" w:space="0" w:color="auto"/>
        <w:left w:val="none" w:sz="0" w:space="0" w:color="auto"/>
        <w:bottom w:val="none" w:sz="0" w:space="0" w:color="auto"/>
        <w:right w:val="none" w:sz="0" w:space="0" w:color="auto"/>
      </w:divBdr>
    </w:div>
    <w:div w:id="255478728">
      <w:bodyDiv w:val="1"/>
      <w:marLeft w:val="0"/>
      <w:marRight w:val="0"/>
      <w:marTop w:val="0"/>
      <w:marBottom w:val="0"/>
      <w:divBdr>
        <w:top w:val="none" w:sz="0" w:space="0" w:color="auto"/>
        <w:left w:val="none" w:sz="0" w:space="0" w:color="auto"/>
        <w:bottom w:val="none" w:sz="0" w:space="0" w:color="auto"/>
        <w:right w:val="none" w:sz="0" w:space="0" w:color="auto"/>
      </w:divBdr>
    </w:div>
    <w:div w:id="346058340">
      <w:bodyDiv w:val="1"/>
      <w:marLeft w:val="0"/>
      <w:marRight w:val="0"/>
      <w:marTop w:val="0"/>
      <w:marBottom w:val="0"/>
      <w:divBdr>
        <w:top w:val="none" w:sz="0" w:space="0" w:color="auto"/>
        <w:left w:val="none" w:sz="0" w:space="0" w:color="auto"/>
        <w:bottom w:val="none" w:sz="0" w:space="0" w:color="auto"/>
        <w:right w:val="none" w:sz="0" w:space="0" w:color="auto"/>
      </w:divBdr>
    </w:div>
    <w:div w:id="455025800">
      <w:bodyDiv w:val="1"/>
      <w:marLeft w:val="0"/>
      <w:marRight w:val="0"/>
      <w:marTop w:val="0"/>
      <w:marBottom w:val="0"/>
      <w:divBdr>
        <w:top w:val="none" w:sz="0" w:space="0" w:color="auto"/>
        <w:left w:val="none" w:sz="0" w:space="0" w:color="auto"/>
        <w:bottom w:val="none" w:sz="0" w:space="0" w:color="auto"/>
        <w:right w:val="none" w:sz="0" w:space="0" w:color="auto"/>
      </w:divBdr>
    </w:div>
    <w:div w:id="601842270">
      <w:bodyDiv w:val="1"/>
      <w:marLeft w:val="0"/>
      <w:marRight w:val="0"/>
      <w:marTop w:val="0"/>
      <w:marBottom w:val="0"/>
      <w:divBdr>
        <w:top w:val="none" w:sz="0" w:space="0" w:color="auto"/>
        <w:left w:val="none" w:sz="0" w:space="0" w:color="auto"/>
        <w:bottom w:val="none" w:sz="0" w:space="0" w:color="auto"/>
        <w:right w:val="none" w:sz="0" w:space="0" w:color="auto"/>
      </w:divBdr>
    </w:div>
    <w:div w:id="1099714505">
      <w:bodyDiv w:val="1"/>
      <w:marLeft w:val="0"/>
      <w:marRight w:val="0"/>
      <w:marTop w:val="0"/>
      <w:marBottom w:val="0"/>
      <w:divBdr>
        <w:top w:val="none" w:sz="0" w:space="0" w:color="auto"/>
        <w:left w:val="none" w:sz="0" w:space="0" w:color="auto"/>
        <w:bottom w:val="none" w:sz="0" w:space="0" w:color="auto"/>
        <w:right w:val="none" w:sz="0" w:space="0" w:color="auto"/>
      </w:divBdr>
    </w:div>
    <w:div w:id="1224677337">
      <w:bodyDiv w:val="1"/>
      <w:marLeft w:val="0"/>
      <w:marRight w:val="0"/>
      <w:marTop w:val="0"/>
      <w:marBottom w:val="0"/>
      <w:divBdr>
        <w:top w:val="none" w:sz="0" w:space="0" w:color="auto"/>
        <w:left w:val="none" w:sz="0" w:space="0" w:color="auto"/>
        <w:bottom w:val="none" w:sz="0" w:space="0" w:color="auto"/>
        <w:right w:val="none" w:sz="0" w:space="0" w:color="auto"/>
      </w:divBdr>
    </w:div>
    <w:div w:id="1500660581">
      <w:bodyDiv w:val="1"/>
      <w:marLeft w:val="0"/>
      <w:marRight w:val="0"/>
      <w:marTop w:val="0"/>
      <w:marBottom w:val="0"/>
      <w:divBdr>
        <w:top w:val="none" w:sz="0" w:space="0" w:color="auto"/>
        <w:left w:val="none" w:sz="0" w:space="0" w:color="auto"/>
        <w:bottom w:val="none" w:sz="0" w:space="0" w:color="auto"/>
        <w:right w:val="none" w:sz="0" w:space="0" w:color="auto"/>
      </w:divBdr>
    </w:div>
    <w:div w:id="1958944125">
      <w:bodyDiv w:val="1"/>
      <w:marLeft w:val="0"/>
      <w:marRight w:val="0"/>
      <w:marTop w:val="0"/>
      <w:marBottom w:val="0"/>
      <w:divBdr>
        <w:top w:val="none" w:sz="0" w:space="0" w:color="auto"/>
        <w:left w:val="none" w:sz="0" w:space="0" w:color="auto"/>
        <w:bottom w:val="none" w:sz="0" w:space="0" w:color="auto"/>
        <w:right w:val="none" w:sz="0" w:space="0" w:color="auto"/>
      </w:divBdr>
    </w:div>
    <w:div w:id="2017416107">
      <w:bodyDiv w:val="1"/>
      <w:marLeft w:val="0"/>
      <w:marRight w:val="0"/>
      <w:marTop w:val="0"/>
      <w:marBottom w:val="0"/>
      <w:divBdr>
        <w:top w:val="none" w:sz="0" w:space="0" w:color="auto"/>
        <w:left w:val="none" w:sz="0" w:space="0" w:color="auto"/>
        <w:bottom w:val="none" w:sz="0" w:space="0" w:color="auto"/>
        <w:right w:val="none" w:sz="0" w:space="0" w:color="auto"/>
      </w:divBdr>
    </w:div>
    <w:div w:id="2092266132">
      <w:bodyDiv w:val="1"/>
      <w:marLeft w:val="0"/>
      <w:marRight w:val="0"/>
      <w:marTop w:val="0"/>
      <w:marBottom w:val="0"/>
      <w:divBdr>
        <w:top w:val="none" w:sz="0" w:space="0" w:color="auto"/>
        <w:left w:val="none" w:sz="0" w:space="0" w:color="auto"/>
        <w:bottom w:val="none" w:sz="0" w:space="0" w:color="auto"/>
        <w:right w:val="none" w:sz="0" w:space="0" w:color="auto"/>
      </w:divBdr>
      <w:divsChild>
        <w:div w:id="13794334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8702macm\AppData\Roaming\Microsoft\Excel\YTD%20Crime%20Dec%20%202020%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8702macm\AppData\Roaming\Microsoft\Excel\YTD%20Crime%20Dec%20%202020%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8702macm\AppData\Roaming\Microsoft\Excel\YTD%20Crime%20Dec%20%202019%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8702macm\AppData\Roaming\Microsoft\Excel\YTD%20Crime%20Dec%20%202020%20(version%201).xlsb"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t>2020</a:t>
            </a:r>
            <a:r>
              <a:rPr lang="en-GB" sz="1000" b="1" baseline="0"/>
              <a:t> v 2019</a:t>
            </a:r>
            <a:endParaRPr lang="en-GB"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017256121624416"/>
          <c:y val="0.16703842163416519"/>
          <c:w val="0.68909659673835733"/>
          <c:h val="0.412597462308957"/>
        </c:manualLayout>
      </c:layout>
      <c:lineChart>
        <c:grouping val="standard"/>
        <c:varyColors val="0"/>
        <c:ser>
          <c:idx val="0"/>
          <c:order val="0"/>
          <c:tx>
            <c:strRef>
              <c:f>Sheet2!$E$67</c:f>
              <c:strCache>
                <c:ptCount val="1"/>
                <c:pt idx="0">
                  <c:v>2019-2020</c:v>
                </c:pt>
              </c:strCache>
            </c:strRef>
          </c:tx>
          <c:spPr>
            <a:ln w="28575" cap="rnd">
              <a:solidFill>
                <a:schemeClr val="tx2">
                  <a:lumMod val="20000"/>
                  <a:lumOff val="80000"/>
                </a:schemeClr>
              </a:solidFill>
              <a:round/>
            </a:ln>
            <a:effectLst/>
          </c:spPr>
          <c:marker>
            <c:symbol val="none"/>
          </c:marker>
          <c:cat>
            <c:strRef>
              <c:f>Sheet2!$D$68:$D$76</c:f>
              <c:strCache>
                <c:ptCount val="9"/>
                <c:pt idx="0">
                  <c:v>Apr</c:v>
                </c:pt>
                <c:pt idx="1">
                  <c:v>May</c:v>
                </c:pt>
                <c:pt idx="2">
                  <c:v>Jun</c:v>
                </c:pt>
                <c:pt idx="3">
                  <c:v>Jul</c:v>
                </c:pt>
                <c:pt idx="4">
                  <c:v>Aug</c:v>
                </c:pt>
                <c:pt idx="5">
                  <c:v>Sep</c:v>
                </c:pt>
                <c:pt idx="6">
                  <c:v>Oct</c:v>
                </c:pt>
                <c:pt idx="7">
                  <c:v>Nov</c:v>
                </c:pt>
                <c:pt idx="8">
                  <c:v>Dec</c:v>
                </c:pt>
              </c:strCache>
            </c:strRef>
          </c:cat>
          <c:val>
            <c:numRef>
              <c:f>Sheet2!$E$68:$E$76</c:f>
              <c:numCache>
                <c:formatCode>General</c:formatCode>
                <c:ptCount val="9"/>
                <c:pt idx="0">
                  <c:v>138</c:v>
                </c:pt>
                <c:pt idx="1">
                  <c:v>134</c:v>
                </c:pt>
                <c:pt idx="2">
                  <c:v>143</c:v>
                </c:pt>
                <c:pt idx="3">
                  <c:v>166</c:v>
                </c:pt>
                <c:pt idx="4">
                  <c:v>163</c:v>
                </c:pt>
                <c:pt idx="5">
                  <c:v>148</c:v>
                </c:pt>
                <c:pt idx="6">
                  <c:v>140</c:v>
                </c:pt>
                <c:pt idx="7">
                  <c:v>143</c:v>
                </c:pt>
                <c:pt idx="8">
                  <c:v>198</c:v>
                </c:pt>
              </c:numCache>
            </c:numRef>
          </c:val>
          <c:smooth val="0"/>
          <c:extLst>
            <c:ext xmlns:c16="http://schemas.microsoft.com/office/drawing/2014/chart" uri="{C3380CC4-5D6E-409C-BE32-E72D297353CC}">
              <c16:uniqueId val="{00000000-F408-4BE0-BD4C-A84D929A4933}"/>
            </c:ext>
          </c:extLst>
        </c:ser>
        <c:ser>
          <c:idx val="1"/>
          <c:order val="1"/>
          <c:tx>
            <c:strRef>
              <c:f>Sheet2!$F$67</c:f>
              <c:strCache>
                <c:ptCount val="1"/>
                <c:pt idx="0">
                  <c:v>2020-2021</c:v>
                </c:pt>
              </c:strCache>
            </c:strRef>
          </c:tx>
          <c:spPr>
            <a:ln w="28575" cap="rnd">
              <a:solidFill>
                <a:schemeClr val="accent1">
                  <a:lumMod val="50000"/>
                </a:schemeClr>
              </a:solidFill>
              <a:round/>
            </a:ln>
            <a:effectLst/>
          </c:spPr>
          <c:marker>
            <c:symbol val="none"/>
          </c:marker>
          <c:cat>
            <c:strRef>
              <c:f>Sheet2!$D$68:$D$76</c:f>
              <c:strCache>
                <c:ptCount val="9"/>
                <c:pt idx="0">
                  <c:v>Apr</c:v>
                </c:pt>
                <c:pt idx="1">
                  <c:v>May</c:v>
                </c:pt>
                <c:pt idx="2">
                  <c:v>Jun</c:v>
                </c:pt>
                <c:pt idx="3">
                  <c:v>Jul</c:v>
                </c:pt>
                <c:pt idx="4">
                  <c:v>Aug</c:v>
                </c:pt>
                <c:pt idx="5">
                  <c:v>Sep</c:v>
                </c:pt>
                <c:pt idx="6">
                  <c:v>Oct</c:v>
                </c:pt>
                <c:pt idx="7">
                  <c:v>Nov</c:v>
                </c:pt>
                <c:pt idx="8">
                  <c:v>Dec</c:v>
                </c:pt>
              </c:strCache>
            </c:strRef>
          </c:cat>
          <c:val>
            <c:numRef>
              <c:f>Sheet2!$F$68:$F$76</c:f>
              <c:numCache>
                <c:formatCode>General</c:formatCode>
                <c:ptCount val="9"/>
                <c:pt idx="0">
                  <c:v>43</c:v>
                </c:pt>
                <c:pt idx="1">
                  <c:v>55</c:v>
                </c:pt>
                <c:pt idx="2">
                  <c:v>66</c:v>
                </c:pt>
                <c:pt idx="3">
                  <c:v>107</c:v>
                </c:pt>
                <c:pt idx="4">
                  <c:v>136</c:v>
                </c:pt>
                <c:pt idx="5">
                  <c:v>140</c:v>
                </c:pt>
                <c:pt idx="6">
                  <c:v>138</c:v>
                </c:pt>
                <c:pt idx="7">
                  <c:v>150</c:v>
                </c:pt>
                <c:pt idx="8">
                  <c:v>126</c:v>
                </c:pt>
              </c:numCache>
            </c:numRef>
          </c:val>
          <c:smooth val="0"/>
          <c:extLst>
            <c:ext xmlns:c16="http://schemas.microsoft.com/office/drawing/2014/chart" uri="{C3380CC4-5D6E-409C-BE32-E72D297353CC}">
              <c16:uniqueId val="{00000001-F408-4BE0-BD4C-A84D929A4933}"/>
            </c:ext>
          </c:extLst>
        </c:ser>
        <c:dLbls>
          <c:showLegendKey val="0"/>
          <c:showVal val="0"/>
          <c:showCatName val="0"/>
          <c:showSerName val="0"/>
          <c:showPercent val="0"/>
          <c:showBubbleSize val="0"/>
        </c:dLbls>
        <c:smooth val="0"/>
        <c:axId val="474580696"/>
        <c:axId val="474577416"/>
      </c:lineChart>
      <c:catAx>
        <c:axId val="47458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577416"/>
        <c:crosses val="autoZero"/>
        <c:auto val="1"/>
        <c:lblAlgn val="ctr"/>
        <c:lblOffset val="100"/>
        <c:noMultiLvlLbl val="0"/>
      </c:catAx>
      <c:valAx>
        <c:axId val="474577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580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28720425459943999"/>
          <c:y val="0.86928424715646468"/>
          <c:w val="0.48525689684472895"/>
          <c:h val="0.130715752843535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t>December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Sheet5!$H$14:$H$42</c:f>
              <c:strCache>
                <c:ptCount val="29"/>
                <c:pt idx="0">
                  <c:v>01-Dec</c:v>
                </c:pt>
                <c:pt idx="1">
                  <c:v>02-Dec</c:v>
                </c:pt>
                <c:pt idx="2">
                  <c:v>03-Dec</c:v>
                </c:pt>
                <c:pt idx="3">
                  <c:v>04-Dec</c:v>
                </c:pt>
                <c:pt idx="4">
                  <c:v>05-Dec</c:v>
                </c:pt>
                <c:pt idx="5">
                  <c:v>06-Dec</c:v>
                </c:pt>
                <c:pt idx="6">
                  <c:v>07-Dec</c:v>
                </c:pt>
                <c:pt idx="7">
                  <c:v>08-Dec</c:v>
                </c:pt>
                <c:pt idx="8">
                  <c:v>09-Dec</c:v>
                </c:pt>
                <c:pt idx="9">
                  <c:v>10-Dec</c:v>
                </c:pt>
                <c:pt idx="10">
                  <c:v>11-Dec</c:v>
                </c:pt>
                <c:pt idx="11">
                  <c:v>12-Dec</c:v>
                </c:pt>
                <c:pt idx="12">
                  <c:v>13-Dec</c:v>
                </c:pt>
                <c:pt idx="13">
                  <c:v>14-Dec</c:v>
                </c:pt>
                <c:pt idx="14">
                  <c:v>15-Dec</c:v>
                </c:pt>
                <c:pt idx="15">
                  <c:v>16-Dec</c:v>
                </c:pt>
                <c:pt idx="16">
                  <c:v>18-Dec</c:v>
                </c:pt>
                <c:pt idx="17">
                  <c:v>19-Dec</c:v>
                </c:pt>
                <c:pt idx="18">
                  <c:v>20-Dec</c:v>
                </c:pt>
                <c:pt idx="19">
                  <c:v>21-Dec</c:v>
                </c:pt>
                <c:pt idx="20">
                  <c:v>22-Dec</c:v>
                </c:pt>
                <c:pt idx="21">
                  <c:v>23-Dec</c:v>
                </c:pt>
                <c:pt idx="22">
                  <c:v>24-Dec</c:v>
                </c:pt>
                <c:pt idx="23">
                  <c:v>25-Dec</c:v>
                </c:pt>
                <c:pt idx="24">
                  <c:v>26-Dec</c:v>
                </c:pt>
                <c:pt idx="25">
                  <c:v>27-Dec</c:v>
                </c:pt>
                <c:pt idx="26">
                  <c:v>28-Dec</c:v>
                </c:pt>
                <c:pt idx="27">
                  <c:v>29-Dec</c:v>
                </c:pt>
                <c:pt idx="28">
                  <c:v>30-Dec</c:v>
                </c:pt>
              </c:strCache>
            </c:strRef>
          </c:cat>
          <c:val>
            <c:numRef>
              <c:f>Sheet5!$I$14:$I$42</c:f>
              <c:numCache>
                <c:formatCode>General</c:formatCode>
                <c:ptCount val="29"/>
                <c:pt idx="0">
                  <c:v>3</c:v>
                </c:pt>
                <c:pt idx="1">
                  <c:v>5</c:v>
                </c:pt>
                <c:pt idx="2">
                  <c:v>5</c:v>
                </c:pt>
                <c:pt idx="3">
                  <c:v>4</c:v>
                </c:pt>
                <c:pt idx="4">
                  <c:v>3</c:v>
                </c:pt>
                <c:pt idx="5">
                  <c:v>4</c:v>
                </c:pt>
                <c:pt idx="6">
                  <c:v>6</c:v>
                </c:pt>
                <c:pt idx="7">
                  <c:v>5</c:v>
                </c:pt>
                <c:pt idx="8">
                  <c:v>2</c:v>
                </c:pt>
                <c:pt idx="9">
                  <c:v>2</c:v>
                </c:pt>
                <c:pt idx="10">
                  <c:v>2</c:v>
                </c:pt>
                <c:pt idx="11">
                  <c:v>9</c:v>
                </c:pt>
                <c:pt idx="12">
                  <c:v>5</c:v>
                </c:pt>
                <c:pt idx="13">
                  <c:v>6</c:v>
                </c:pt>
                <c:pt idx="14">
                  <c:v>4</c:v>
                </c:pt>
                <c:pt idx="15">
                  <c:v>2</c:v>
                </c:pt>
                <c:pt idx="16">
                  <c:v>4</c:v>
                </c:pt>
                <c:pt idx="17">
                  <c:v>6</c:v>
                </c:pt>
                <c:pt idx="18">
                  <c:v>2</c:v>
                </c:pt>
                <c:pt idx="19">
                  <c:v>3</c:v>
                </c:pt>
                <c:pt idx="20">
                  <c:v>8</c:v>
                </c:pt>
                <c:pt idx="21">
                  <c:v>6</c:v>
                </c:pt>
                <c:pt idx="22">
                  <c:v>4</c:v>
                </c:pt>
                <c:pt idx="23">
                  <c:v>2</c:v>
                </c:pt>
                <c:pt idx="24">
                  <c:v>3</c:v>
                </c:pt>
                <c:pt idx="25">
                  <c:v>4</c:v>
                </c:pt>
                <c:pt idx="26">
                  <c:v>8</c:v>
                </c:pt>
                <c:pt idx="27">
                  <c:v>3</c:v>
                </c:pt>
                <c:pt idx="28">
                  <c:v>1</c:v>
                </c:pt>
              </c:numCache>
            </c:numRef>
          </c:val>
          <c:smooth val="0"/>
          <c:extLst>
            <c:ext xmlns:c16="http://schemas.microsoft.com/office/drawing/2014/chart" uri="{C3380CC4-5D6E-409C-BE32-E72D297353CC}">
              <c16:uniqueId val="{00000000-61E2-4717-8171-509475AE2F47}"/>
            </c:ext>
          </c:extLst>
        </c:ser>
        <c:dLbls>
          <c:showLegendKey val="0"/>
          <c:showVal val="0"/>
          <c:showCatName val="0"/>
          <c:showSerName val="0"/>
          <c:showPercent val="0"/>
          <c:showBubbleSize val="0"/>
        </c:dLbls>
        <c:smooth val="0"/>
        <c:axId val="373833936"/>
        <c:axId val="373834264"/>
      </c:lineChart>
      <c:catAx>
        <c:axId val="37383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834264"/>
        <c:crosses val="autoZero"/>
        <c:auto val="1"/>
        <c:lblAlgn val="ctr"/>
        <c:lblOffset val="100"/>
        <c:noMultiLvlLbl val="0"/>
      </c:catAx>
      <c:valAx>
        <c:axId val="3738342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833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t>December</a:t>
            </a:r>
            <a:r>
              <a:rPr lang="en-GB" sz="1000" b="1" baseline="0"/>
              <a:t> 2019</a:t>
            </a:r>
            <a:endParaRPr lang="en-GB"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4"/>
              </a:solidFill>
              <a:round/>
            </a:ln>
            <a:effectLst/>
          </c:spPr>
          <c:marker>
            <c:symbol val="none"/>
          </c:marker>
          <c:cat>
            <c:strRef>
              <c:f>Sheet8!$E$12:$E$40</c:f>
              <c:strCache>
                <c:ptCount val="29"/>
                <c:pt idx="0">
                  <c:v>01-Dec</c:v>
                </c:pt>
                <c:pt idx="1">
                  <c:v>02-Dec</c:v>
                </c:pt>
                <c:pt idx="2">
                  <c:v>03-Dec</c:v>
                </c:pt>
                <c:pt idx="3">
                  <c:v>04-Dec</c:v>
                </c:pt>
                <c:pt idx="4">
                  <c:v>05-Dec</c:v>
                </c:pt>
                <c:pt idx="5">
                  <c:v>06-Dec</c:v>
                </c:pt>
                <c:pt idx="6">
                  <c:v>08-Dec</c:v>
                </c:pt>
                <c:pt idx="7">
                  <c:v>09-Dec</c:v>
                </c:pt>
                <c:pt idx="8">
                  <c:v>10-Dec</c:v>
                </c:pt>
                <c:pt idx="9">
                  <c:v>11-Dec</c:v>
                </c:pt>
                <c:pt idx="10">
                  <c:v>12-Dec</c:v>
                </c:pt>
                <c:pt idx="11">
                  <c:v>13-Dec</c:v>
                </c:pt>
                <c:pt idx="12">
                  <c:v>14-Dec</c:v>
                </c:pt>
                <c:pt idx="13">
                  <c:v>15-Dec</c:v>
                </c:pt>
                <c:pt idx="14">
                  <c:v>17-Dec</c:v>
                </c:pt>
                <c:pt idx="15">
                  <c:v>18-Dec</c:v>
                </c:pt>
                <c:pt idx="16">
                  <c:v>19-Dec</c:v>
                </c:pt>
                <c:pt idx="17">
                  <c:v>20-Dec</c:v>
                </c:pt>
                <c:pt idx="18">
                  <c:v>21-Dec</c:v>
                </c:pt>
                <c:pt idx="19">
                  <c:v>22-Dec</c:v>
                </c:pt>
                <c:pt idx="20">
                  <c:v>23-Dec</c:v>
                </c:pt>
                <c:pt idx="21">
                  <c:v>24-Dec</c:v>
                </c:pt>
                <c:pt idx="22">
                  <c:v>25-Dec</c:v>
                </c:pt>
                <c:pt idx="23">
                  <c:v>26-Dec</c:v>
                </c:pt>
                <c:pt idx="24">
                  <c:v>27-Dec</c:v>
                </c:pt>
                <c:pt idx="25">
                  <c:v>28-Dec</c:v>
                </c:pt>
                <c:pt idx="26">
                  <c:v>29-Dec</c:v>
                </c:pt>
                <c:pt idx="27">
                  <c:v>30-Dec</c:v>
                </c:pt>
                <c:pt idx="28">
                  <c:v>31-Dec</c:v>
                </c:pt>
              </c:strCache>
            </c:strRef>
          </c:cat>
          <c:val>
            <c:numRef>
              <c:f>Sheet8!$F$12:$F$40</c:f>
              <c:numCache>
                <c:formatCode>General</c:formatCode>
                <c:ptCount val="29"/>
                <c:pt idx="0">
                  <c:v>5</c:v>
                </c:pt>
                <c:pt idx="1">
                  <c:v>9</c:v>
                </c:pt>
                <c:pt idx="2">
                  <c:v>4</c:v>
                </c:pt>
                <c:pt idx="3">
                  <c:v>2</c:v>
                </c:pt>
                <c:pt idx="4">
                  <c:v>4</c:v>
                </c:pt>
                <c:pt idx="5">
                  <c:v>6</c:v>
                </c:pt>
                <c:pt idx="6">
                  <c:v>4</c:v>
                </c:pt>
                <c:pt idx="7">
                  <c:v>5</c:v>
                </c:pt>
                <c:pt idx="8">
                  <c:v>6</c:v>
                </c:pt>
                <c:pt idx="9">
                  <c:v>6</c:v>
                </c:pt>
                <c:pt idx="10">
                  <c:v>2</c:v>
                </c:pt>
                <c:pt idx="11">
                  <c:v>1</c:v>
                </c:pt>
                <c:pt idx="12">
                  <c:v>5</c:v>
                </c:pt>
                <c:pt idx="13">
                  <c:v>6</c:v>
                </c:pt>
                <c:pt idx="14">
                  <c:v>4</c:v>
                </c:pt>
                <c:pt idx="15">
                  <c:v>2</c:v>
                </c:pt>
                <c:pt idx="16">
                  <c:v>4</c:v>
                </c:pt>
                <c:pt idx="17">
                  <c:v>3</c:v>
                </c:pt>
                <c:pt idx="18">
                  <c:v>1</c:v>
                </c:pt>
                <c:pt idx="19">
                  <c:v>7</c:v>
                </c:pt>
                <c:pt idx="20">
                  <c:v>8</c:v>
                </c:pt>
                <c:pt idx="21">
                  <c:v>5</c:v>
                </c:pt>
                <c:pt idx="22">
                  <c:v>29</c:v>
                </c:pt>
                <c:pt idx="23">
                  <c:v>27</c:v>
                </c:pt>
                <c:pt idx="24">
                  <c:v>4</c:v>
                </c:pt>
                <c:pt idx="25">
                  <c:v>3</c:v>
                </c:pt>
                <c:pt idx="26">
                  <c:v>14</c:v>
                </c:pt>
                <c:pt idx="27">
                  <c:v>15</c:v>
                </c:pt>
                <c:pt idx="28">
                  <c:v>7</c:v>
                </c:pt>
              </c:numCache>
            </c:numRef>
          </c:val>
          <c:smooth val="0"/>
          <c:extLst>
            <c:ext xmlns:c16="http://schemas.microsoft.com/office/drawing/2014/chart" uri="{C3380CC4-5D6E-409C-BE32-E72D297353CC}">
              <c16:uniqueId val="{00000000-5837-4311-9533-248ABC18F110}"/>
            </c:ext>
          </c:extLst>
        </c:ser>
        <c:dLbls>
          <c:showLegendKey val="0"/>
          <c:showVal val="0"/>
          <c:showCatName val="0"/>
          <c:showSerName val="0"/>
          <c:showPercent val="0"/>
          <c:showBubbleSize val="0"/>
        </c:dLbls>
        <c:smooth val="0"/>
        <c:axId val="795422624"/>
        <c:axId val="795422952"/>
      </c:lineChart>
      <c:catAx>
        <c:axId val="79542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422952"/>
        <c:crosses val="autoZero"/>
        <c:auto val="1"/>
        <c:lblAlgn val="ctr"/>
        <c:lblOffset val="100"/>
        <c:noMultiLvlLbl val="0"/>
      </c:catAx>
      <c:valAx>
        <c:axId val="795422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422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t>Weapon Crime</a:t>
            </a:r>
            <a:r>
              <a:rPr lang="en-GB" sz="1000" b="1" baseline="0"/>
              <a:t> - </a:t>
            </a:r>
            <a:r>
              <a:rPr lang="en-GB" sz="1000" b="1"/>
              <a:t>2020</a:t>
            </a:r>
            <a:r>
              <a:rPr lang="en-GB" sz="1000" b="1" baseline="0"/>
              <a:t> v 2019</a:t>
            </a:r>
            <a:endParaRPr lang="en-GB" sz="1000" b="1"/>
          </a:p>
        </c:rich>
      </c:tx>
      <c:layout>
        <c:manualLayout>
          <c:xMode val="edge"/>
          <c:yMode val="edge"/>
          <c:x val="0.1931282719988271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Sheet2!$E$94</c:f>
              <c:strCache>
                <c:ptCount val="1"/>
                <c:pt idx="0">
                  <c:v>2019</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Sheet2!$D$95:$D$103</c:f>
              <c:strCache>
                <c:ptCount val="9"/>
                <c:pt idx="0">
                  <c:v>Apr</c:v>
                </c:pt>
                <c:pt idx="1">
                  <c:v>May</c:v>
                </c:pt>
                <c:pt idx="2">
                  <c:v>Jun</c:v>
                </c:pt>
                <c:pt idx="3">
                  <c:v>Jul</c:v>
                </c:pt>
                <c:pt idx="4">
                  <c:v>Aug</c:v>
                </c:pt>
                <c:pt idx="5">
                  <c:v>Sep</c:v>
                </c:pt>
                <c:pt idx="6">
                  <c:v>Oct</c:v>
                </c:pt>
                <c:pt idx="7">
                  <c:v>Nov</c:v>
                </c:pt>
                <c:pt idx="8">
                  <c:v>Dec</c:v>
                </c:pt>
              </c:strCache>
            </c:strRef>
          </c:cat>
          <c:val>
            <c:numRef>
              <c:f>Sheet2!$E$95:$E$103</c:f>
              <c:numCache>
                <c:formatCode>General</c:formatCode>
                <c:ptCount val="9"/>
                <c:pt idx="0">
                  <c:v>7</c:v>
                </c:pt>
                <c:pt idx="1">
                  <c:v>4</c:v>
                </c:pt>
                <c:pt idx="2">
                  <c:v>3</c:v>
                </c:pt>
                <c:pt idx="3">
                  <c:v>11</c:v>
                </c:pt>
                <c:pt idx="4">
                  <c:v>7</c:v>
                </c:pt>
                <c:pt idx="5">
                  <c:v>2</c:v>
                </c:pt>
                <c:pt idx="6">
                  <c:v>4</c:v>
                </c:pt>
                <c:pt idx="7">
                  <c:v>5</c:v>
                </c:pt>
                <c:pt idx="8">
                  <c:v>3</c:v>
                </c:pt>
              </c:numCache>
            </c:numRef>
          </c:val>
          <c:extLst>
            <c:ext xmlns:c16="http://schemas.microsoft.com/office/drawing/2014/chart" uri="{C3380CC4-5D6E-409C-BE32-E72D297353CC}">
              <c16:uniqueId val="{00000000-8424-42FC-B7E9-FC66AE81EAA6}"/>
            </c:ext>
          </c:extLst>
        </c:ser>
        <c:ser>
          <c:idx val="1"/>
          <c:order val="1"/>
          <c:tx>
            <c:strRef>
              <c:f>Sheet2!$F$94</c:f>
              <c:strCache>
                <c:ptCount val="1"/>
                <c:pt idx="0">
                  <c:v>2020</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Sheet2!$D$95:$D$103</c:f>
              <c:strCache>
                <c:ptCount val="9"/>
                <c:pt idx="0">
                  <c:v>Apr</c:v>
                </c:pt>
                <c:pt idx="1">
                  <c:v>May</c:v>
                </c:pt>
                <c:pt idx="2">
                  <c:v>Jun</c:v>
                </c:pt>
                <c:pt idx="3">
                  <c:v>Jul</c:v>
                </c:pt>
                <c:pt idx="4">
                  <c:v>Aug</c:v>
                </c:pt>
                <c:pt idx="5">
                  <c:v>Sep</c:v>
                </c:pt>
                <c:pt idx="6">
                  <c:v>Oct</c:v>
                </c:pt>
                <c:pt idx="7">
                  <c:v>Nov</c:v>
                </c:pt>
                <c:pt idx="8">
                  <c:v>Dec</c:v>
                </c:pt>
              </c:strCache>
            </c:strRef>
          </c:cat>
          <c:val>
            <c:numRef>
              <c:f>Sheet2!$F$95:$F$103</c:f>
              <c:numCache>
                <c:formatCode>General</c:formatCode>
                <c:ptCount val="9"/>
                <c:pt idx="0">
                  <c:v>4</c:v>
                </c:pt>
                <c:pt idx="1">
                  <c:v>2</c:v>
                </c:pt>
                <c:pt idx="2">
                  <c:v>3</c:v>
                </c:pt>
                <c:pt idx="3">
                  <c:v>8</c:v>
                </c:pt>
                <c:pt idx="4">
                  <c:v>5</c:v>
                </c:pt>
                <c:pt idx="5">
                  <c:v>11</c:v>
                </c:pt>
                <c:pt idx="6">
                  <c:v>9</c:v>
                </c:pt>
                <c:pt idx="7">
                  <c:v>4</c:v>
                </c:pt>
                <c:pt idx="8">
                  <c:v>8</c:v>
                </c:pt>
              </c:numCache>
            </c:numRef>
          </c:val>
          <c:extLst>
            <c:ext xmlns:c16="http://schemas.microsoft.com/office/drawing/2014/chart" uri="{C3380CC4-5D6E-409C-BE32-E72D297353CC}">
              <c16:uniqueId val="{00000001-8424-42FC-B7E9-FC66AE81EAA6}"/>
            </c:ext>
          </c:extLst>
        </c:ser>
        <c:dLbls>
          <c:dLblPos val="outEnd"/>
          <c:showLegendKey val="0"/>
          <c:showVal val="1"/>
          <c:showCatName val="0"/>
          <c:showSerName val="0"/>
          <c:showPercent val="0"/>
          <c:showBubbleSize val="0"/>
        </c:dLbls>
        <c:gapWidth val="219"/>
        <c:overlap val="-27"/>
        <c:axId val="627511616"/>
        <c:axId val="627504728"/>
      </c:barChart>
      <c:catAx>
        <c:axId val="62751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504728"/>
        <c:crosses val="autoZero"/>
        <c:auto val="1"/>
        <c:lblAlgn val="ctr"/>
        <c:lblOffset val="100"/>
        <c:noMultiLvlLbl val="0"/>
      </c:catAx>
      <c:valAx>
        <c:axId val="6275047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2751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C95C-2091-46FA-9337-2A232BA9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856987EA</Template>
  <TotalTime>158</TotalTime>
  <Pages>7</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Rebecca</dc:creator>
  <cp:keywords/>
  <dc:description/>
  <cp:lastModifiedBy>Maclellan, Alistair</cp:lastModifiedBy>
  <cp:revision>23</cp:revision>
  <dcterms:created xsi:type="dcterms:W3CDTF">2021-02-04T11:42:00Z</dcterms:created>
  <dcterms:modified xsi:type="dcterms:W3CDTF">2021-02-08T16:47:00Z</dcterms:modified>
</cp:coreProperties>
</file>