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266" w:rsidRDefault="00117266">
      <w:pPr>
        <w:rPr>
          <w:b/>
        </w:rPr>
      </w:pPr>
      <w:r w:rsidRPr="0072567D">
        <w:rPr>
          <w:b/>
          <w:noProof/>
          <w:sz w:val="28"/>
          <w:szCs w:val="32"/>
          <w:u w:val="single"/>
        </w:rPr>
        <w:drawing>
          <wp:anchor distT="0" distB="0" distL="114300" distR="114300" simplePos="0" relativeHeight="251659264" behindDoc="1" locked="0" layoutInCell="1" allowOverlap="1" wp14:anchorId="6B1BE166" wp14:editId="27A306A2">
            <wp:simplePos x="0" y="0"/>
            <wp:positionH relativeFrom="page">
              <wp:posOffset>5238750</wp:posOffset>
            </wp:positionH>
            <wp:positionV relativeFrom="paragraph">
              <wp:posOffset>0</wp:posOffset>
            </wp:positionV>
            <wp:extent cx="1590040" cy="798195"/>
            <wp:effectExtent l="0" t="0" r="0" b="1905"/>
            <wp:wrapTight wrapText="bothSides">
              <wp:wrapPolygon edited="0">
                <wp:start x="0" y="0"/>
                <wp:lineTo x="0" y="21136"/>
                <wp:lineTo x="19927" y="21136"/>
                <wp:lineTo x="19927" y="0"/>
                <wp:lineTo x="0" y="0"/>
              </wp:wrapPolygon>
            </wp:wrapTight>
            <wp:docPr id="286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4" name="Picture 4"/>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040" cy="79819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117266" w:rsidRDefault="00117266">
      <w:pPr>
        <w:rPr>
          <w:b/>
        </w:rPr>
      </w:pPr>
    </w:p>
    <w:p w:rsidR="00117266" w:rsidRDefault="00117266">
      <w:pPr>
        <w:rPr>
          <w:b/>
        </w:rPr>
      </w:pPr>
    </w:p>
    <w:p w:rsidR="001C75A2" w:rsidRPr="00551AD0" w:rsidRDefault="0074004F">
      <w:pPr>
        <w:rPr>
          <w:sz w:val="24"/>
        </w:rPr>
      </w:pPr>
      <w:r w:rsidRPr="00551AD0">
        <w:rPr>
          <w:b/>
          <w:sz w:val="24"/>
        </w:rPr>
        <w:t>COVID Response Activity</w:t>
      </w:r>
      <w:r w:rsidR="00B94411" w:rsidRPr="00551AD0">
        <w:rPr>
          <w:b/>
          <w:sz w:val="24"/>
        </w:rPr>
        <w:t xml:space="preserve">: </w:t>
      </w:r>
      <w:r w:rsidR="00B94411" w:rsidRPr="00551AD0">
        <w:rPr>
          <w:sz w:val="24"/>
        </w:rPr>
        <w:t>Supplementary Document</w:t>
      </w:r>
    </w:p>
    <w:tbl>
      <w:tblPr>
        <w:tblStyle w:val="TableGrid"/>
        <w:tblpPr w:leftFromText="180" w:rightFromText="180" w:vertAnchor="text" w:horzAnchor="page" w:tblpX="9391" w:tblpY="366"/>
        <w:tblW w:w="0" w:type="auto"/>
        <w:tblLook w:val="04A0" w:firstRow="1" w:lastRow="0" w:firstColumn="1" w:lastColumn="0" w:noHBand="0" w:noVBand="1"/>
      </w:tblPr>
      <w:tblGrid>
        <w:gridCol w:w="1214"/>
        <w:gridCol w:w="389"/>
      </w:tblGrid>
      <w:tr w:rsidR="00551AD0" w:rsidTr="00551AD0">
        <w:trPr>
          <w:trHeight w:val="177"/>
        </w:trPr>
        <w:tc>
          <w:tcPr>
            <w:tcW w:w="1214" w:type="dxa"/>
          </w:tcPr>
          <w:p w:rsidR="00117266" w:rsidRPr="005451FE" w:rsidRDefault="00117266" w:rsidP="00551AD0">
            <w:pPr>
              <w:rPr>
                <w:sz w:val="16"/>
              </w:rPr>
            </w:pPr>
            <w:r w:rsidRPr="005451FE">
              <w:rPr>
                <w:sz w:val="16"/>
              </w:rPr>
              <w:t>West</w:t>
            </w:r>
          </w:p>
        </w:tc>
        <w:tc>
          <w:tcPr>
            <w:tcW w:w="389" w:type="dxa"/>
            <w:shd w:val="clear" w:color="auto" w:fill="8EAADB" w:themeFill="accent1" w:themeFillTint="99"/>
          </w:tcPr>
          <w:p w:rsidR="00117266" w:rsidRDefault="00117266" w:rsidP="00551AD0">
            <w:pPr>
              <w:rPr>
                <w:b/>
              </w:rPr>
            </w:pPr>
          </w:p>
        </w:tc>
      </w:tr>
      <w:tr w:rsidR="00117266" w:rsidTr="00551AD0">
        <w:trPr>
          <w:trHeight w:val="172"/>
        </w:trPr>
        <w:tc>
          <w:tcPr>
            <w:tcW w:w="1214" w:type="dxa"/>
          </w:tcPr>
          <w:p w:rsidR="00117266" w:rsidRPr="005451FE" w:rsidRDefault="00422EA9" w:rsidP="00551AD0">
            <w:pPr>
              <w:rPr>
                <w:sz w:val="16"/>
              </w:rPr>
            </w:pPr>
            <w:r w:rsidRPr="005451FE">
              <w:rPr>
                <w:sz w:val="16"/>
              </w:rPr>
              <w:t>Glasgow</w:t>
            </w:r>
          </w:p>
        </w:tc>
        <w:tc>
          <w:tcPr>
            <w:tcW w:w="389" w:type="dxa"/>
            <w:shd w:val="clear" w:color="auto" w:fill="A6A6A6" w:themeFill="background1" w:themeFillShade="A6"/>
          </w:tcPr>
          <w:p w:rsidR="00117266" w:rsidRDefault="00117266" w:rsidP="00551AD0">
            <w:pPr>
              <w:rPr>
                <w:b/>
              </w:rPr>
            </w:pPr>
          </w:p>
        </w:tc>
      </w:tr>
      <w:tr w:rsidR="00117266" w:rsidTr="00551AD0">
        <w:trPr>
          <w:trHeight w:val="177"/>
        </w:trPr>
        <w:tc>
          <w:tcPr>
            <w:tcW w:w="1214" w:type="dxa"/>
          </w:tcPr>
          <w:p w:rsidR="00117266" w:rsidRPr="005451FE" w:rsidRDefault="00422EA9" w:rsidP="00551AD0">
            <w:pPr>
              <w:rPr>
                <w:sz w:val="16"/>
              </w:rPr>
            </w:pPr>
            <w:r w:rsidRPr="005451FE">
              <w:rPr>
                <w:sz w:val="16"/>
              </w:rPr>
              <w:t>East</w:t>
            </w:r>
          </w:p>
        </w:tc>
        <w:tc>
          <w:tcPr>
            <w:tcW w:w="389" w:type="dxa"/>
            <w:shd w:val="clear" w:color="auto" w:fill="FFE599" w:themeFill="accent4" w:themeFillTint="66"/>
          </w:tcPr>
          <w:p w:rsidR="00117266" w:rsidRDefault="00117266" w:rsidP="00551AD0">
            <w:pPr>
              <w:rPr>
                <w:b/>
              </w:rPr>
            </w:pPr>
          </w:p>
        </w:tc>
      </w:tr>
      <w:tr w:rsidR="00117266" w:rsidTr="00551AD0">
        <w:trPr>
          <w:trHeight w:val="172"/>
        </w:trPr>
        <w:tc>
          <w:tcPr>
            <w:tcW w:w="1214" w:type="dxa"/>
          </w:tcPr>
          <w:p w:rsidR="00117266" w:rsidRPr="005451FE" w:rsidRDefault="00422EA9" w:rsidP="00551AD0">
            <w:pPr>
              <w:rPr>
                <w:sz w:val="16"/>
              </w:rPr>
            </w:pPr>
            <w:r w:rsidRPr="005451FE">
              <w:rPr>
                <w:sz w:val="16"/>
              </w:rPr>
              <w:t>North</w:t>
            </w:r>
          </w:p>
        </w:tc>
        <w:tc>
          <w:tcPr>
            <w:tcW w:w="389" w:type="dxa"/>
            <w:shd w:val="clear" w:color="auto" w:fill="C5E0B3" w:themeFill="accent6" w:themeFillTint="66"/>
          </w:tcPr>
          <w:p w:rsidR="00117266" w:rsidRDefault="00117266" w:rsidP="00551AD0">
            <w:pPr>
              <w:rPr>
                <w:b/>
              </w:rPr>
            </w:pPr>
          </w:p>
        </w:tc>
      </w:tr>
    </w:tbl>
    <w:p w:rsidR="0074004F" w:rsidRPr="00551AD0" w:rsidRDefault="00117266" w:rsidP="00117266">
      <w:pPr>
        <w:jc w:val="center"/>
        <w:rPr>
          <w:b/>
          <w:sz w:val="18"/>
        </w:rPr>
      </w:pPr>
      <w:r w:rsidRPr="00551AD0">
        <w:rPr>
          <w:b/>
          <w:sz w:val="18"/>
        </w:rPr>
        <w:t xml:space="preserve">                                                                         </w:t>
      </w:r>
      <w:r w:rsidR="00422EA9" w:rsidRPr="00551AD0">
        <w:rPr>
          <w:b/>
          <w:sz w:val="18"/>
        </w:rPr>
        <w:t xml:space="preserve">                                                                     </w:t>
      </w:r>
      <w:r w:rsidR="005451FE" w:rsidRPr="00551AD0">
        <w:rPr>
          <w:b/>
          <w:sz w:val="18"/>
        </w:rPr>
        <w:t xml:space="preserve">   </w:t>
      </w:r>
      <w:r w:rsidR="00551AD0">
        <w:rPr>
          <w:b/>
          <w:sz w:val="18"/>
        </w:rPr>
        <w:t xml:space="preserve">                                 </w:t>
      </w:r>
      <w:r w:rsidR="0074004F" w:rsidRPr="00551AD0">
        <w:rPr>
          <w:b/>
          <w:sz w:val="18"/>
        </w:rPr>
        <w:t xml:space="preserve">Key </w:t>
      </w:r>
    </w:p>
    <w:p w:rsidR="0074004F" w:rsidRDefault="0074004F">
      <w:pPr>
        <w:rPr>
          <w:b/>
        </w:rPr>
      </w:pPr>
    </w:p>
    <w:p w:rsidR="0074004F" w:rsidRDefault="0074004F">
      <w:pPr>
        <w:rPr>
          <w:b/>
        </w:rPr>
      </w:pPr>
    </w:p>
    <w:p w:rsidR="00117266" w:rsidRDefault="00117266">
      <w:pPr>
        <w:rPr>
          <w:b/>
        </w:rPr>
      </w:pPr>
    </w:p>
    <w:p w:rsidR="00117266" w:rsidRDefault="00117266">
      <w:pPr>
        <w:rPr>
          <w:b/>
        </w:rPr>
      </w:pPr>
    </w:p>
    <w:tbl>
      <w:tblPr>
        <w:tblpPr w:leftFromText="180" w:rightFromText="180" w:vertAnchor="text" w:horzAnchor="margin" w:tblpY="64"/>
        <w:tblW w:w="53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693"/>
        <w:gridCol w:w="4631"/>
        <w:gridCol w:w="3316"/>
      </w:tblGrid>
      <w:tr w:rsidR="0074004F" w:rsidTr="00B94411">
        <w:trPr>
          <w:trHeight w:val="49"/>
        </w:trPr>
        <w:tc>
          <w:tcPr>
            <w:tcW w:w="878" w:type="pct"/>
            <w:shd w:val="clear" w:color="auto" w:fill="D5DCE4" w:themeFill="text2" w:themeFillTint="33"/>
            <w:tcMar>
              <w:top w:w="15" w:type="dxa"/>
              <w:left w:w="108" w:type="dxa"/>
              <w:bottom w:w="0" w:type="dxa"/>
              <w:right w:w="108" w:type="dxa"/>
            </w:tcMar>
            <w:hideMark/>
          </w:tcPr>
          <w:p w:rsidR="0074004F" w:rsidRPr="0074004F" w:rsidRDefault="0074004F" w:rsidP="0074004F">
            <w:pPr>
              <w:jc w:val="center"/>
              <w:rPr>
                <w:b/>
                <w:bCs/>
                <w:sz w:val="20"/>
                <w:szCs w:val="21"/>
              </w:rPr>
            </w:pPr>
            <w:r w:rsidRPr="0074004F">
              <w:rPr>
                <w:b/>
                <w:bCs/>
                <w:sz w:val="20"/>
                <w:szCs w:val="21"/>
              </w:rPr>
              <w:t>October – November</w:t>
            </w:r>
          </w:p>
        </w:tc>
        <w:tc>
          <w:tcPr>
            <w:tcW w:w="2402" w:type="pct"/>
            <w:shd w:val="clear" w:color="auto" w:fill="D5DCE4" w:themeFill="text2" w:themeFillTint="33"/>
            <w:tcMar>
              <w:top w:w="15" w:type="dxa"/>
              <w:left w:w="108" w:type="dxa"/>
              <w:bottom w:w="0" w:type="dxa"/>
              <w:right w:w="108" w:type="dxa"/>
            </w:tcMar>
            <w:hideMark/>
          </w:tcPr>
          <w:p w:rsidR="0074004F" w:rsidRPr="0074004F" w:rsidRDefault="0074004F" w:rsidP="0074004F">
            <w:pPr>
              <w:jc w:val="center"/>
              <w:rPr>
                <w:b/>
                <w:bCs/>
                <w:sz w:val="20"/>
                <w:szCs w:val="21"/>
              </w:rPr>
            </w:pPr>
            <w:r w:rsidRPr="0074004F">
              <w:rPr>
                <w:b/>
                <w:bCs/>
                <w:sz w:val="20"/>
                <w:szCs w:val="21"/>
              </w:rPr>
              <w:t>November – December</w:t>
            </w:r>
          </w:p>
        </w:tc>
        <w:tc>
          <w:tcPr>
            <w:tcW w:w="1720" w:type="pct"/>
            <w:shd w:val="clear" w:color="auto" w:fill="D5DCE4" w:themeFill="text2" w:themeFillTint="33"/>
            <w:tcMar>
              <w:top w:w="15" w:type="dxa"/>
              <w:left w:w="108" w:type="dxa"/>
              <w:bottom w:w="0" w:type="dxa"/>
              <w:right w:w="108" w:type="dxa"/>
            </w:tcMar>
            <w:hideMark/>
          </w:tcPr>
          <w:p w:rsidR="0074004F" w:rsidRPr="0074004F" w:rsidRDefault="0074004F" w:rsidP="0074004F">
            <w:pPr>
              <w:jc w:val="center"/>
              <w:rPr>
                <w:b/>
                <w:bCs/>
                <w:sz w:val="20"/>
                <w:szCs w:val="21"/>
              </w:rPr>
            </w:pPr>
            <w:r w:rsidRPr="0074004F">
              <w:rPr>
                <w:b/>
                <w:bCs/>
                <w:sz w:val="20"/>
                <w:szCs w:val="21"/>
              </w:rPr>
              <w:t>December - January</w:t>
            </w:r>
          </w:p>
        </w:tc>
      </w:tr>
      <w:tr w:rsidR="00B94411" w:rsidTr="00B94411">
        <w:trPr>
          <w:trHeight w:val="599"/>
        </w:trPr>
        <w:tc>
          <w:tcPr>
            <w:tcW w:w="878" w:type="pct"/>
            <w:shd w:val="clear" w:color="auto" w:fill="8EAADB" w:themeFill="accent1" w:themeFillTint="99"/>
            <w:tcMar>
              <w:top w:w="15" w:type="dxa"/>
              <w:left w:w="108" w:type="dxa"/>
              <w:bottom w:w="0" w:type="dxa"/>
              <w:right w:w="108" w:type="dxa"/>
            </w:tcMar>
          </w:tcPr>
          <w:p w:rsidR="0074004F" w:rsidRPr="0074004F" w:rsidRDefault="0074004F" w:rsidP="0074004F">
            <w:pPr>
              <w:rPr>
                <w:sz w:val="18"/>
                <w:szCs w:val="18"/>
                <w:u w:val="single"/>
              </w:rPr>
            </w:pPr>
            <w:r>
              <w:rPr>
                <w:sz w:val="18"/>
                <w:szCs w:val="18"/>
                <w:u w:val="single"/>
              </w:rPr>
              <w:t>30</w:t>
            </w:r>
            <w:r>
              <w:rPr>
                <w:sz w:val="18"/>
                <w:szCs w:val="18"/>
                <w:u w:val="single"/>
                <w:vertAlign w:val="superscript"/>
              </w:rPr>
              <w:t>th</w:t>
            </w:r>
            <w:r>
              <w:rPr>
                <w:sz w:val="18"/>
                <w:szCs w:val="18"/>
                <w:u w:val="single"/>
              </w:rPr>
              <w:t xml:space="preserve"> -31</w:t>
            </w:r>
            <w:r>
              <w:rPr>
                <w:sz w:val="18"/>
                <w:szCs w:val="18"/>
                <w:u w:val="single"/>
                <w:vertAlign w:val="superscript"/>
              </w:rPr>
              <w:t>st</w:t>
            </w:r>
            <w:r>
              <w:rPr>
                <w:sz w:val="18"/>
                <w:szCs w:val="18"/>
                <w:u w:val="single"/>
              </w:rPr>
              <w:t xml:space="preserve"> October: </w:t>
            </w:r>
            <w:r>
              <w:rPr>
                <w:sz w:val="18"/>
                <w:szCs w:val="18"/>
              </w:rPr>
              <w:t>Face mask/ essential travel compliance and ASB days of action in Inverclyde area.  Train patrols conducted between Glasgow and Wemyss Bay with youths refused travel where require identified as non-essential.</w:t>
            </w:r>
          </w:p>
          <w:p w:rsidR="0074004F" w:rsidRDefault="0074004F" w:rsidP="0074004F">
            <w:pPr>
              <w:rPr>
                <w:sz w:val="18"/>
                <w:szCs w:val="18"/>
              </w:rPr>
            </w:pPr>
          </w:p>
          <w:p w:rsidR="0074004F" w:rsidRDefault="0074004F" w:rsidP="0074004F">
            <w:pPr>
              <w:rPr>
                <w:sz w:val="18"/>
                <w:szCs w:val="18"/>
              </w:rPr>
            </w:pPr>
          </w:p>
          <w:p w:rsidR="0074004F" w:rsidRDefault="0074004F" w:rsidP="0074004F">
            <w:pPr>
              <w:rPr>
                <w:sz w:val="18"/>
                <w:szCs w:val="18"/>
              </w:rPr>
            </w:pPr>
          </w:p>
        </w:tc>
        <w:tc>
          <w:tcPr>
            <w:tcW w:w="2402" w:type="pct"/>
            <w:shd w:val="clear" w:color="auto" w:fill="8EAADB" w:themeFill="accent1" w:themeFillTint="99"/>
            <w:tcMar>
              <w:top w:w="15" w:type="dxa"/>
              <w:left w:w="108" w:type="dxa"/>
              <w:bottom w:w="0" w:type="dxa"/>
              <w:right w:w="108" w:type="dxa"/>
            </w:tcMar>
          </w:tcPr>
          <w:p w:rsidR="0074004F" w:rsidRPr="0074004F" w:rsidRDefault="0074004F" w:rsidP="0074004F">
            <w:pPr>
              <w:rPr>
                <w:sz w:val="18"/>
                <w:szCs w:val="18"/>
                <w:u w:val="single"/>
              </w:rPr>
            </w:pPr>
            <w:r>
              <w:rPr>
                <w:sz w:val="18"/>
                <w:szCs w:val="18"/>
                <w:u w:val="single"/>
              </w:rPr>
              <w:t>6</w:t>
            </w:r>
            <w:r>
              <w:rPr>
                <w:sz w:val="18"/>
                <w:szCs w:val="18"/>
                <w:u w:val="single"/>
                <w:vertAlign w:val="superscript"/>
              </w:rPr>
              <w:t>th</w:t>
            </w:r>
            <w:r>
              <w:rPr>
                <w:sz w:val="18"/>
                <w:szCs w:val="18"/>
                <w:u w:val="single"/>
              </w:rPr>
              <w:t>-7</w:t>
            </w:r>
            <w:r>
              <w:rPr>
                <w:sz w:val="18"/>
                <w:szCs w:val="18"/>
                <w:u w:val="single"/>
                <w:vertAlign w:val="superscript"/>
              </w:rPr>
              <w:t>th</w:t>
            </w:r>
            <w:r>
              <w:rPr>
                <w:sz w:val="18"/>
                <w:szCs w:val="18"/>
                <w:u w:val="single"/>
              </w:rPr>
              <w:t>, 14</w:t>
            </w:r>
            <w:r>
              <w:rPr>
                <w:sz w:val="18"/>
                <w:szCs w:val="18"/>
                <w:u w:val="single"/>
                <w:vertAlign w:val="superscript"/>
              </w:rPr>
              <w:t>th</w:t>
            </w:r>
            <w:r>
              <w:rPr>
                <w:sz w:val="18"/>
                <w:szCs w:val="18"/>
                <w:u w:val="single"/>
              </w:rPr>
              <w:t xml:space="preserve"> November: </w:t>
            </w:r>
            <w:r>
              <w:rPr>
                <w:sz w:val="18"/>
                <w:szCs w:val="18"/>
              </w:rPr>
              <w:t>Face mask/essential travel compliance in Girvan to Mayboyle area.  Non-essential travel deterred and positive social media coverage.  Joint patrols and social media approach with Police Scotland on 14</w:t>
            </w:r>
            <w:r>
              <w:rPr>
                <w:sz w:val="18"/>
                <w:szCs w:val="18"/>
                <w:vertAlign w:val="superscript"/>
              </w:rPr>
              <w:t>th</w:t>
            </w:r>
            <w:r>
              <w:rPr>
                <w:sz w:val="18"/>
                <w:szCs w:val="18"/>
              </w:rPr>
              <w:t xml:space="preserve"> November.</w:t>
            </w:r>
          </w:p>
          <w:p w:rsidR="0074004F" w:rsidRDefault="0074004F" w:rsidP="0074004F">
            <w:pPr>
              <w:rPr>
                <w:sz w:val="18"/>
                <w:szCs w:val="18"/>
                <w:u w:val="single"/>
              </w:rPr>
            </w:pPr>
            <w:r>
              <w:rPr>
                <w:sz w:val="18"/>
                <w:szCs w:val="18"/>
                <w:u w:val="single"/>
              </w:rPr>
              <w:t>20</w:t>
            </w:r>
            <w:r>
              <w:rPr>
                <w:sz w:val="18"/>
                <w:szCs w:val="18"/>
                <w:u w:val="single"/>
                <w:vertAlign w:val="superscript"/>
              </w:rPr>
              <w:t>th</w:t>
            </w:r>
            <w:r>
              <w:rPr>
                <w:sz w:val="18"/>
                <w:szCs w:val="18"/>
                <w:u w:val="single"/>
              </w:rPr>
              <w:t>-21</w:t>
            </w:r>
            <w:r>
              <w:rPr>
                <w:sz w:val="18"/>
                <w:szCs w:val="18"/>
                <w:u w:val="single"/>
                <w:vertAlign w:val="superscript"/>
              </w:rPr>
              <w:t>st</w:t>
            </w:r>
            <w:r>
              <w:rPr>
                <w:sz w:val="18"/>
                <w:szCs w:val="18"/>
                <w:u w:val="single"/>
              </w:rPr>
              <w:t xml:space="preserve"> November: </w:t>
            </w:r>
            <w:r>
              <w:rPr>
                <w:sz w:val="18"/>
                <w:szCs w:val="18"/>
              </w:rPr>
              <w:t xml:space="preserve">Face mask/ essential travel compliance and ASB days of action on train patrols between Wemyss Bay/Port Glasgow and Branchton.  One arrest for culpable and reckless conduct.  Non-essential travel refused. </w:t>
            </w:r>
          </w:p>
          <w:p w:rsidR="0074004F" w:rsidRDefault="0074004F" w:rsidP="0074004F">
            <w:pPr>
              <w:jc w:val="both"/>
              <w:rPr>
                <w:sz w:val="18"/>
                <w:szCs w:val="18"/>
              </w:rPr>
            </w:pPr>
          </w:p>
          <w:p w:rsidR="0074004F" w:rsidRDefault="0074004F" w:rsidP="0074004F">
            <w:pPr>
              <w:jc w:val="both"/>
              <w:rPr>
                <w:sz w:val="18"/>
                <w:szCs w:val="18"/>
              </w:rPr>
            </w:pPr>
          </w:p>
          <w:p w:rsidR="0074004F" w:rsidRDefault="0074004F" w:rsidP="0074004F">
            <w:pPr>
              <w:jc w:val="both"/>
              <w:rPr>
                <w:sz w:val="18"/>
                <w:szCs w:val="18"/>
              </w:rPr>
            </w:pPr>
            <w:r>
              <w:rPr>
                <w:sz w:val="18"/>
                <w:szCs w:val="18"/>
              </w:rPr>
              <w:t>  </w:t>
            </w:r>
          </w:p>
        </w:tc>
        <w:tc>
          <w:tcPr>
            <w:tcW w:w="1720" w:type="pct"/>
            <w:shd w:val="clear" w:color="auto" w:fill="8EAADB" w:themeFill="accent1" w:themeFillTint="99"/>
            <w:tcMar>
              <w:top w:w="15" w:type="dxa"/>
              <w:left w:w="108" w:type="dxa"/>
              <w:bottom w:w="0" w:type="dxa"/>
              <w:right w:w="108" w:type="dxa"/>
            </w:tcMar>
          </w:tcPr>
          <w:p w:rsidR="0074004F" w:rsidRPr="0074004F" w:rsidRDefault="0074004F" w:rsidP="0074004F">
            <w:pPr>
              <w:rPr>
                <w:sz w:val="18"/>
                <w:szCs w:val="18"/>
                <w:u w:val="single"/>
              </w:rPr>
            </w:pPr>
            <w:r>
              <w:rPr>
                <w:sz w:val="18"/>
                <w:szCs w:val="18"/>
                <w:u w:val="single"/>
              </w:rPr>
              <w:t>3</w:t>
            </w:r>
            <w:r>
              <w:rPr>
                <w:sz w:val="18"/>
                <w:szCs w:val="18"/>
                <w:u w:val="single"/>
                <w:vertAlign w:val="superscript"/>
              </w:rPr>
              <w:t>rd</w:t>
            </w:r>
            <w:r>
              <w:rPr>
                <w:sz w:val="18"/>
                <w:szCs w:val="18"/>
                <w:u w:val="single"/>
              </w:rPr>
              <w:t xml:space="preserve"> December: </w:t>
            </w:r>
            <w:proofErr w:type="gramStart"/>
            <w:r>
              <w:rPr>
                <w:sz w:val="18"/>
                <w:szCs w:val="18"/>
                <w:u w:val="single"/>
              </w:rPr>
              <w:t>As</w:t>
            </w:r>
            <w:r>
              <w:rPr>
                <w:sz w:val="18"/>
                <w:szCs w:val="18"/>
              </w:rPr>
              <w:t xml:space="preserve"> a result of</w:t>
            </w:r>
            <w:proofErr w:type="gramEnd"/>
            <w:r>
              <w:rPr>
                <w:sz w:val="18"/>
                <w:szCs w:val="18"/>
              </w:rPr>
              <w:t xml:space="preserve"> a rise in theft of passenger property in the Inverclyde area on train patrols conducted, supported by Operations Unit. </w:t>
            </w:r>
          </w:p>
          <w:p w:rsidR="0074004F" w:rsidRPr="0074004F" w:rsidRDefault="0074004F" w:rsidP="0074004F">
            <w:pPr>
              <w:rPr>
                <w:sz w:val="18"/>
                <w:szCs w:val="18"/>
                <w:u w:val="single"/>
              </w:rPr>
            </w:pPr>
            <w:r>
              <w:rPr>
                <w:sz w:val="18"/>
                <w:szCs w:val="18"/>
                <w:u w:val="single"/>
              </w:rPr>
              <w:t>4</w:t>
            </w:r>
            <w:r>
              <w:rPr>
                <w:sz w:val="18"/>
                <w:szCs w:val="18"/>
                <w:u w:val="single"/>
                <w:vertAlign w:val="superscript"/>
              </w:rPr>
              <w:t>th</w:t>
            </w:r>
            <w:r>
              <w:rPr>
                <w:sz w:val="18"/>
                <w:szCs w:val="18"/>
                <w:u w:val="single"/>
              </w:rPr>
              <w:t xml:space="preserve"> December: </w:t>
            </w:r>
            <w:r>
              <w:rPr>
                <w:sz w:val="18"/>
                <w:szCs w:val="18"/>
              </w:rPr>
              <w:t>Patrols at Dumfries station following lockdown restrictions being lifted in England.  No issues of note.</w:t>
            </w:r>
          </w:p>
          <w:p w:rsidR="0074004F" w:rsidRPr="0074004F" w:rsidRDefault="0074004F" w:rsidP="0074004F">
            <w:pPr>
              <w:rPr>
                <w:sz w:val="18"/>
                <w:szCs w:val="18"/>
                <w:u w:val="single"/>
              </w:rPr>
            </w:pPr>
            <w:r>
              <w:rPr>
                <w:sz w:val="18"/>
                <w:szCs w:val="18"/>
                <w:u w:val="single"/>
              </w:rPr>
              <w:t>5</w:t>
            </w:r>
            <w:r>
              <w:rPr>
                <w:sz w:val="18"/>
                <w:szCs w:val="18"/>
                <w:u w:val="single"/>
                <w:vertAlign w:val="superscript"/>
              </w:rPr>
              <w:t>th</w:t>
            </w:r>
            <w:r>
              <w:rPr>
                <w:sz w:val="18"/>
                <w:szCs w:val="18"/>
                <w:u w:val="single"/>
              </w:rPr>
              <w:t xml:space="preserve"> December: </w:t>
            </w:r>
            <w:r>
              <w:rPr>
                <w:sz w:val="18"/>
                <w:szCs w:val="18"/>
              </w:rPr>
              <w:t>Face mask / essential travel compliance at Irvine.  Numerous interventions and ASB issues.</w:t>
            </w:r>
          </w:p>
          <w:p w:rsidR="0074004F" w:rsidRPr="0074004F" w:rsidRDefault="0074004F" w:rsidP="0074004F">
            <w:pPr>
              <w:rPr>
                <w:sz w:val="18"/>
                <w:szCs w:val="18"/>
                <w:u w:val="single"/>
              </w:rPr>
            </w:pPr>
            <w:r>
              <w:rPr>
                <w:sz w:val="18"/>
                <w:szCs w:val="18"/>
                <w:u w:val="single"/>
              </w:rPr>
              <w:t>4</w:t>
            </w:r>
            <w:r>
              <w:rPr>
                <w:sz w:val="18"/>
                <w:szCs w:val="18"/>
                <w:u w:val="single"/>
                <w:vertAlign w:val="superscript"/>
              </w:rPr>
              <w:t>th</w:t>
            </w:r>
            <w:r>
              <w:rPr>
                <w:sz w:val="18"/>
                <w:szCs w:val="18"/>
                <w:u w:val="single"/>
              </w:rPr>
              <w:t>-5</w:t>
            </w:r>
            <w:r>
              <w:rPr>
                <w:sz w:val="18"/>
                <w:szCs w:val="18"/>
                <w:u w:val="single"/>
                <w:vertAlign w:val="superscript"/>
              </w:rPr>
              <w:t>th</w:t>
            </w:r>
            <w:r>
              <w:rPr>
                <w:sz w:val="18"/>
                <w:szCs w:val="18"/>
                <w:u w:val="single"/>
              </w:rPr>
              <w:t xml:space="preserve"> December: </w:t>
            </w:r>
            <w:r>
              <w:rPr>
                <w:sz w:val="18"/>
                <w:szCs w:val="18"/>
              </w:rPr>
              <w:t xml:space="preserve">Joint working with Police Scotland for face mask/essential travel compliance in the Inverclyde area. </w:t>
            </w:r>
          </w:p>
          <w:p w:rsidR="0074004F" w:rsidRPr="0074004F" w:rsidRDefault="0074004F" w:rsidP="0074004F">
            <w:pPr>
              <w:rPr>
                <w:sz w:val="18"/>
                <w:szCs w:val="18"/>
                <w:u w:val="single"/>
              </w:rPr>
            </w:pPr>
            <w:r>
              <w:rPr>
                <w:sz w:val="18"/>
                <w:szCs w:val="18"/>
                <w:u w:val="single"/>
              </w:rPr>
              <w:t>11</w:t>
            </w:r>
            <w:r>
              <w:rPr>
                <w:sz w:val="18"/>
                <w:szCs w:val="18"/>
                <w:u w:val="single"/>
                <w:vertAlign w:val="superscript"/>
              </w:rPr>
              <w:t>th</w:t>
            </w:r>
            <w:r>
              <w:rPr>
                <w:sz w:val="18"/>
                <w:szCs w:val="18"/>
                <w:u w:val="single"/>
              </w:rPr>
              <w:t xml:space="preserve"> December: </w:t>
            </w:r>
            <w:r>
              <w:rPr>
                <w:sz w:val="18"/>
                <w:szCs w:val="18"/>
              </w:rPr>
              <w:t>Face mask / essential travel compliance between Dalmuir and Helensburgh</w:t>
            </w:r>
            <w:r w:rsidR="00551AD0">
              <w:rPr>
                <w:sz w:val="18"/>
                <w:szCs w:val="18"/>
              </w:rPr>
              <w:t>.</w:t>
            </w:r>
            <w:r>
              <w:rPr>
                <w:sz w:val="18"/>
                <w:szCs w:val="18"/>
              </w:rPr>
              <w:t xml:space="preserve"> Non-essential travel deterred.</w:t>
            </w:r>
          </w:p>
          <w:p w:rsidR="0074004F" w:rsidRPr="0074004F" w:rsidRDefault="0074004F" w:rsidP="0074004F">
            <w:pPr>
              <w:rPr>
                <w:sz w:val="18"/>
                <w:szCs w:val="18"/>
                <w:u w:val="single"/>
              </w:rPr>
            </w:pPr>
            <w:r>
              <w:rPr>
                <w:sz w:val="18"/>
                <w:szCs w:val="18"/>
                <w:u w:val="single"/>
              </w:rPr>
              <w:t>12</w:t>
            </w:r>
            <w:r>
              <w:rPr>
                <w:sz w:val="18"/>
                <w:szCs w:val="18"/>
                <w:u w:val="single"/>
                <w:vertAlign w:val="superscript"/>
              </w:rPr>
              <w:t>th</w:t>
            </w:r>
            <w:r>
              <w:rPr>
                <w:sz w:val="18"/>
                <w:szCs w:val="18"/>
                <w:u w:val="single"/>
              </w:rPr>
              <w:t xml:space="preserve"> December: </w:t>
            </w:r>
            <w:r>
              <w:rPr>
                <w:sz w:val="18"/>
                <w:szCs w:val="18"/>
              </w:rPr>
              <w:t>Op Sentinel day of action, joint working with Police Scotland, Scotrail and Inverclyde Council.  Knife arch deployed with 66 passengers checked, 15 activations.  Parents updated, and work shared on Twitter.</w:t>
            </w:r>
          </w:p>
          <w:p w:rsidR="0074004F" w:rsidRPr="0074004F" w:rsidRDefault="0074004F" w:rsidP="0074004F">
            <w:pPr>
              <w:rPr>
                <w:sz w:val="18"/>
                <w:szCs w:val="18"/>
              </w:rPr>
            </w:pPr>
            <w:r>
              <w:rPr>
                <w:sz w:val="18"/>
                <w:szCs w:val="18"/>
                <w:u w:val="single"/>
              </w:rPr>
              <w:t>18</w:t>
            </w:r>
            <w:r>
              <w:rPr>
                <w:sz w:val="18"/>
                <w:szCs w:val="18"/>
                <w:u w:val="single"/>
                <w:vertAlign w:val="superscript"/>
              </w:rPr>
              <w:t>th</w:t>
            </w:r>
            <w:r>
              <w:rPr>
                <w:sz w:val="18"/>
                <w:szCs w:val="18"/>
                <w:u w:val="single"/>
              </w:rPr>
              <w:t xml:space="preserve"> December: </w:t>
            </w:r>
            <w:r>
              <w:rPr>
                <w:sz w:val="18"/>
                <w:szCs w:val="18"/>
              </w:rPr>
              <w:t>Face mask / essential travel compliance patrols Girvan to Maybole. </w:t>
            </w:r>
          </w:p>
        </w:tc>
      </w:tr>
      <w:tr w:rsidR="00A7008D" w:rsidTr="00B94411">
        <w:trPr>
          <w:trHeight w:val="65"/>
        </w:trPr>
        <w:tc>
          <w:tcPr>
            <w:tcW w:w="878" w:type="pct"/>
            <w:shd w:val="clear" w:color="auto" w:fill="FFE599" w:themeFill="accent4" w:themeFillTint="66"/>
            <w:tcMar>
              <w:top w:w="15" w:type="dxa"/>
              <w:left w:w="108" w:type="dxa"/>
              <w:bottom w:w="0" w:type="dxa"/>
              <w:right w:w="108" w:type="dxa"/>
            </w:tcMar>
          </w:tcPr>
          <w:p w:rsidR="00A7008D" w:rsidRPr="00913862" w:rsidRDefault="00B94411" w:rsidP="00B94411">
            <w:pPr>
              <w:jc w:val="both"/>
              <w:rPr>
                <w:sz w:val="18"/>
                <w:szCs w:val="18"/>
              </w:rPr>
            </w:pPr>
            <w:r w:rsidRPr="00913862">
              <w:rPr>
                <w:sz w:val="18"/>
                <w:szCs w:val="18"/>
              </w:rPr>
              <w:lastRenderedPageBreak/>
              <w:t>E</w:t>
            </w:r>
            <w:r w:rsidR="00A7008D" w:rsidRPr="00913862">
              <w:rPr>
                <w:sz w:val="18"/>
                <w:szCs w:val="18"/>
              </w:rPr>
              <w:t xml:space="preserve">very Friday and Saturday from October 2020 to now </w:t>
            </w:r>
            <w:r w:rsidR="00A941AC" w:rsidRPr="00913862">
              <w:rPr>
                <w:sz w:val="18"/>
                <w:szCs w:val="18"/>
              </w:rPr>
              <w:t xml:space="preserve">(29 patrols) </w:t>
            </w:r>
            <w:r w:rsidR="00A7008D" w:rsidRPr="00913862">
              <w:rPr>
                <w:sz w:val="18"/>
                <w:szCs w:val="18"/>
              </w:rPr>
              <w:t xml:space="preserve">we have had extra officers on duty conducting Red Cedar patrols. </w:t>
            </w:r>
          </w:p>
          <w:p w:rsidR="0074004F" w:rsidRPr="00913862" w:rsidRDefault="00400DE0" w:rsidP="00400DE0">
            <w:pPr>
              <w:rPr>
                <w:sz w:val="18"/>
                <w:szCs w:val="18"/>
              </w:rPr>
            </w:pPr>
            <w:r w:rsidRPr="00913862">
              <w:rPr>
                <w:sz w:val="18"/>
                <w:szCs w:val="18"/>
              </w:rPr>
              <w:t>Fridays and Saturday</w:t>
            </w:r>
            <w:r>
              <w:rPr>
                <w:sz w:val="18"/>
                <w:szCs w:val="18"/>
              </w:rPr>
              <w:t xml:space="preserve">s have been time </w:t>
            </w:r>
            <w:r w:rsidRPr="00913862">
              <w:rPr>
                <w:sz w:val="18"/>
                <w:szCs w:val="18"/>
              </w:rPr>
              <w:t xml:space="preserve">most likely to see youth related issues (face mask, social distancing, non-essential travel, ASB etc) which is why additional Red Cedar patrols were </w:t>
            </w:r>
            <w:r>
              <w:rPr>
                <w:sz w:val="18"/>
                <w:szCs w:val="18"/>
              </w:rPr>
              <w:t xml:space="preserve">concentrated </w:t>
            </w:r>
            <w:r w:rsidRPr="00913862">
              <w:rPr>
                <w:sz w:val="18"/>
                <w:szCs w:val="18"/>
              </w:rPr>
              <w:t xml:space="preserve">on those days. BAU resources would target compliance issues on every other day of the week. </w:t>
            </w:r>
          </w:p>
        </w:tc>
        <w:tc>
          <w:tcPr>
            <w:tcW w:w="2402" w:type="pct"/>
            <w:shd w:val="clear" w:color="auto" w:fill="FFE599" w:themeFill="accent4" w:themeFillTint="66"/>
            <w:tcMar>
              <w:top w:w="15" w:type="dxa"/>
              <w:left w:w="108" w:type="dxa"/>
              <w:bottom w:w="0" w:type="dxa"/>
              <w:right w:w="108" w:type="dxa"/>
            </w:tcMar>
          </w:tcPr>
          <w:p w:rsidR="00A941AC" w:rsidRPr="00B94411" w:rsidRDefault="00A941AC" w:rsidP="00A941AC">
            <w:pPr>
              <w:rPr>
                <w:sz w:val="18"/>
                <w:szCs w:val="18"/>
              </w:rPr>
            </w:pPr>
            <w:r w:rsidRPr="00B94411">
              <w:rPr>
                <w:sz w:val="18"/>
                <w:szCs w:val="18"/>
              </w:rPr>
              <w:t>The patrols have focused on Waverley Station (with an emphasis on the Waverley Steps and Cross Border Services), Haymarket station and the line of route to Bathgate.</w:t>
            </w:r>
          </w:p>
          <w:p w:rsidR="0074004F" w:rsidRPr="00B94411" w:rsidRDefault="0074004F" w:rsidP="0074004F">
            <w:pPr>
              <w:jc w:val="both"/>
              <w:rPr>
                <w:sz w:val="18"/>
                <w:szCs w:val="18"/>
              </w:rPr>
            </w:pPr>
          </w:p>
        </w:tc>
        <w:tc>
          <w:tcPr>
            <w:tcW w:w="1720" w:type="pct"/>
            <w:shd w:val="clear" w:color="auto" w:fill="FFE599" w:themeFill="accent4" w:themeFillTint="66"/>
            <w:tcMar>
              <w:top w:w="15" w:type="dxa"/>
              <w:left w:w="108" w:type="dxa"/>
              <w:bottom w:w="0" w:type="dxa"/>
              <w:right w:w="108" w:type="dxa"/>
            </w:tcMar>
          </w:tcPr>
          <w:p w:rsidR="00E6213D" w:rsidRDefault="00985296" w:rsidP="00281F55">
            <w:pPr>
              <w:rPr>
                <w:color w:val="000000"/>
                <w:sz w:val="18"/>
                <w:szCs w:val="18"/>
              </w:rPr>
            </w:pPr>
            <w:r>
              <w:rPr>
                <w:color w:val="000000"/>
                <w:sz w:val="18"/>
                <w:szCs w:val="18"/>
              </w:rPr>
              <w:t xml:space="preserve">All </w:t>
            </w:r>
            <w:r w:rsidRPr="00985296">
              <w:rPr>
                <w:color w:val="000000"/>
                <w:sz w:val="18"/>
                <w:szCs w:val="18"/>
              </w:rPr>
              <w:t>sectors had further Op Red Cedar patrols to support the rail industry due to an anticipated increase in passenger numbers.</w:t>
            </w:r>
          </w:p>
          <w:p w:rsidR="00E215ED" w:rsidRDefault="00E215ED" w:rsidP="00281F55">
            <w:pPr>
              <w:rPr>
                <w:sz w:val="18"/>
                <w:szCs w:val="18"/>
              </w:rPr>
            </w:pPr>
          </w:p>
          <w:p w:rsidR="00E215ED" w:rsidRPr="00985296" w:rsidRDefault="00E215ED" w:rsidP="00281F55">
            <w:pPr>
              <w:rPr>
                <w:sz w:val="18"/>
                <w:szCs w:val="18"/>
              </w:rPr>
            </w:pPr>
            <w:r>
              <w:rPr>
                <w:sz w:val="18"/>
                <w:szCs w:val="18"/>
              </w:rPr>
              <w:t xml:space="preserve">Total of </w:t>
            </w:r>
            <w:r w:rsidRPr="00E215ED">
              <w:rPr>
                <w:sz w:val="18"/>
                <w:szCs w:val="18"/>
              </w:rPr>
              <w:t>29 operations</w:t>
            </w:r>
            <w:r w:rsidRPr="00E215ED">
              <w:rPr>
                <w:sz w:val="18"/>
                <w:szCs w:val="18"/>
              </w:rPr>
              <w:t xml:space="preserve"> between October and December.</w:t>
            </w:r>
          </w:p>
        </w:tc>
      </w:tr>
      <w:tr w:rsidR="0074004F" w:rsidTr="00171B13">
        <w:trPr>
          <w:trHeight w:val="65"/>
        </w:trPr>
        <w:tc>
          <w:tcPr>
            <w:tcW w:w="878" w:type="pct"/>
            <w:shd w:val="clear" w:color="auto" w:fill="BFBFBF" w:themeFill="background1" w:themeFillShade="BF"/>
            <w:tcMar>
              <w:top w:w="15" w:type="dxa"/>
              <w:left w:w="108" w:type="dxa"/>
              <w:bottom w:w="0" w:type="dxa"/>
              <w:right w:w="108" w:type="dxa"/>
            </w:tcMar>
          </w:tcPr>
          <w:p w:rsidR="00E6213D" w:rsidRPr="00985296" w:rsidRDefault="00E6213D" w:rsidP="00E6213D">
            <w:pPr>
              <w:rPr>
                <w:sz w:val="18"/>
                <w:szCs w:val="18"/>
              </w:rPr>
            </w:pPr>
            <w:r w:rsidRPr="00985296">
              <w:rPr>
                <w:sz w:val="18"/>
                <w:szCs w:val="18"/>
              </w:rPr>
              <w:t>Li</w:t>
            </w:r>
            <w:r w:rsidRPr="00985296">
              <w:rPr>
                <w:sz w:val="18"/>
                <w:szCs w:val="18"/>
              </w:rPr>
              <w:t xml:space="preserve">st of deployments </w:t>
            </w:r>
            <w:r w:rsidRPr="00985296">
              <w:rPr>
                <w:sz w:val="18"/>
                <w:szCs w:val="18"/>
              </w:rPr>
              <w:t xml:space="preserve">available </w:t>
            </w:r>
            <w:r w:rsidR="00E576BD" w:rsidRPr="00985296">
              <w:rPr>
                <w:sz w:val="18"/>
                <w:szCs w:val="18"/>
              </w:rPr>
              <w:t>pre-December</w:t>
            </w:r>
            <w:r w:rsidRPr="00985296">
              <w:rPr>
                <w:sz w:val="18"/>
                <w:szCs w:val="18"/>
              </w:rPr>
              <w:t xml:space="preserve"> but </w:t>
            </w:r>
            <w:r w:rsidRPr="00985296">
              <w:rPr>
                <w:sz w:val="18"/>
                <w:szCs w:val="18"/>
              </w:rPr>
              <w:t>formalised returns only sent</w:t>
            </w:r>
            <w:r w:rsidRPr="00985296">
              <w:rPr>
                <w:sz w:val="18"/>
                <w:szCs w:val="18"/>
              </w:rPr>
              <w:t xml:space="preserve"> in Jan</w:t>
            </w:r>
            <w:r w:rsidR="00985296" w:rsidRPr="00985296">
              <w:rPr>
                <w:sz w:val="18"/>
                <w:szCs w:val="18"/>
              </w:rPr>
              <w:t>uary</w:t>
            </w:r>
            <w:r w:rsidRPr="00985296">
              <w:rPr>
                <w:sz w:val="18"/>
                <w:szCs w:val="18"/>
              </w:rPr>
              <w:t>.</w:t>
            </w:r>
          </w:p>
          <w:p w:rsidR="00055621" w:rsidRPr="00055621" w:rsidRDefault="00055621" w:rsidP="0074004F">
            <w:pPr>
              <w:rPr>
                <w:sz w:val="18"/>
                <w:u w:val="single"/>
              </w:rPr>
            </w:pPr>
          </w:p>
        </w:tc>
        <w:tc>
          <w:tcPr>
            <w:tcW w:w="2402" w:type="pct"/>
            <w:shd w:val="clear" w:color="auto" w:fill="BFBFBF" w:themeFill="background1" w:themeFillShade="BF"/>
            <w:tcMar>
              <w:top w:w="15" w:type="dxa"/>
              <w:left w:w="108" w:type="dxa"/>
              <w:bottom w:w="0" w:type="dxa"/>
              <w:right w:w="108" w:type="dxa"/>
            </w:tcMar>
          </w:tcPr>
          <w:p w:rsidR="0074004F" w:rsidRDefault="0074004F" w:rsidP="0074004F">
            <w:pPr>
              <w:jc w:val="both"/>
              <w:rPr>
                <w:u w:val="single"/>
              </w:rPr>
            </w:pPr>
          </w:p>
          <w:p w:rsidR="00171B13" w:rsidRDefault="00171B13" w:rsidP="0074004F">
            <w:pPr>
              <w:jc w:val="both"/>
              <w:rPr>
                <w:u w:val="single"/>
              </w:rPr>
            </w:pPr>
          </w:p>
          <w:p w:rsidR="00171B13" w:rsidRDefault="00171B13" w:rsidP="0074004F">
            <w:pPr>
              <w:jc w:val="both"/>
              <w:rPr>
                <w:u w:val="single"/>
              </w:rPr>
            </w:pPr>
          </w:p>
          <w:p w:rsidR="00171B13" w:rsidRDefault="00171B13" w:rsidP="0074004F">
            <w:pPr>
              <w:jc w:val="both"/>
              <w:rPr>
                <w:u w:val="single"/>
              </w:rPr>
            </w:pPr>
            <w:bookmarkStart w:id="0" w:name="_GoBack"/>
            <w:bookmarkEnd w:id="0"/>
          </w:p>
          <w:p w:rsidR="00171B13" w:rsidRDefault="00171B13" w:rsidP="0074004F">
            <w:pPr>
              <w:jc w:val="both"/>
              <w:rPr>
                <w:u w:val="single"/>
              </w:rPr>
            </w:pPr>
          </w:p>
          <w:p w:rsidR="00171B13" w:rsidRDefault="00171B13" w:rsidP="0074004F">
            <w:pPr>
              <w:jc w:val="both"/>
              <w:rPr>
                <w:u w:val="single"/>
              </w:rPr>
            </w:pPr>
          </w:p>
        </w:tc>
        <w:tc>
          <w:tcPr>
            <w:tcW w:w="1720" w:type="pct"/>
            <w:shd w:val="clear" w:color="auto" w:fill="BFBFBF" w:themeFill="background1" w:themeFillShade="BF"/>
            <w:tcMar>
              <w:top w:w="15" w:type="dxa"/>
              <w:left w:w="108" w:type="dxa"/>
              <w:bottom w:w="0" w:type="dxa"/>
              <w:right w:w="108" w:type="dxa"/>
            </w:tcMar>
          </w:tcPr>
          <w:p w:rsidR="00E6213D" w:rsidRPr="00E6213D" w:rsidRDefault="00E6213D" w:rsidP="00281F55">
            <w:pPr>
              <w:rPr>
                <w:sz w:val="18"/>
                <w:szCs w:val="18"/>
              </w:rPr>
            </w:pPr>
            <w:r w:rsidRPr="00E6213D">
              <w:rPr>
                <w:sz w:val="18"/>
                <w:szCs w:val="18"/>
              </w:rPr>
              <w:t>Friday 22</w:t>
            </w:r>
            <w:r w:rsidRPr="00E6213D">
              <w:rPr>
                <w:sz w:val="18"/>
                <w:szCs w:val="18"/>
                <w:vertAlign w:val="superscript"/>
              </w:rPr>
              <w:t>nd</w:t>
            </w:r>
            <w:r w:rsidRPr="00E6213D">
              <w:rPr>
                <w:sz w:val="18"/>
                <w:szCs w:val="18"/>
              </w:rPr>
              <w:t xml:space="preserve"> January – Helensburgh ASB initiative</w:t>
            </w:r>
          </w:p>
          <w:p w:rsidR="00E6213D" w:rsidRPr="00E6213D" w:rsidRDefault="00E6213D" w:rsidP="00281F55">
            <w:pPr>
              <w:rPr>
                <w:sz w:val="18"/>
                <w:szCs w:val="18"/>
              </w:rPr>
            </w:pPr>
            <w:r w:rsidRPr="00E6213D">
              <w:rPr>
                <w:sz w:val="18"/>
                <w:szCs w:val="18"/>
              </w:rPr>
              <w:t>Friday 22</w:t>
            </w:r>
            <w:r w:rsidRPr="00E6213D">
              <w:rPr>
                <w:sz w:val="18"/>
                <w:szCs w:val="18"/>
                <w:vertAlign w:val="superscript"/>
              </w:rPr>
              <w:t>nd</w:t>
            </w:r>
            <w:r w:rsidRPr="00E6213D">
              <w:rPr>
                <w:sz w:val="18"/>
                <w:szCs w:val="18"/>
              </w:rPr>
              <w:t xml:space="preserve"> January – Partick ASB Action Plan</w:t>
            </w:r>
          </w:p>
          <w:p w:rsidR="00E6213D" w:rsidRPr="00E6213D" w:rsidRDefault="00E6213D" w:rsidP="00281F55">
            <w:pPr>
              <w:rPr>
                <w:sz w:val="18"/>
                <w:szCs w:val="18"/>
              </w:rPr>
            </w:pPr>
          </w:p>
          <w:p w:rsidR="00E6213D" w:rsidRPr="00E6213D" w:rsidRDefault="00E6213D" w:rsidP="00281F55">
            <w:pPr>
              <w:rPr>
                <w:sz w:val="18"/>
                <w:szCs w:val="18"/>
              </w:rPr>
            </w:pPr>
            <w:r w:rsidRPr="00E6213D">
              <w:rPr>
                <w:sz w:val="18"/>
                <w:szCs w:val="18"/>
              </w:rPr>
              <w:t>Saturday 23</w:t>
            </w:r>
            <w:r w:rsidRPr="00E6213D">
              <w:rPr>
                <w:sz w:val="18"/>
                <w:szCs w:val="18"/>
                <w:vertAlign w:val="superscript"/>
              </w:rPr>
              <w:t>rd</w:t>
            </w:r>
            <w:r w:rsidRPr="00E6213D">
              <w:rPr>
                <w:sz w:val="18"/>
                <w:szCs w:val="18"/>
              </w:rPr>
              <w:t xml:space="preserve"> January Helensburgh ASB initiative</w:t>
            </w:r>
          </w:p>
          <w:p w:rsidR="00E6213D" w:rsidRPr="00E6213D" w:rsidRDefault="00E6213D" w:rsidP="00281F55">
            <w:pPr>
              <w:rPr>
                <w:sz w:val="18"/>
                <w:szCs w:val="18"/>
              </w:rPr>
            </w:pPr>
            <w:r w:rsidRPr="00E6213D">
              <w:rPr>
                <w:sz w:val="18"/>
                <w:szCs w:val="18"/>
              </w:rPr>
              <w:t>Saturday 23</w:t>
            </w:r>
            <w:r w:rsidRPr="00E6213D">
              <w:rPr>
                <w:sz w:val="18"/>
                <w:szCs w:val="18"/>
                <w:vertAlign w:val="superscript"/>
              </w:rPr>
              <w:t>rd</w:t>
            </w:r>
            <w:r w:rsidRPr="00E6213D">
              <w:rPr>
                <w:sz w:val="18"/>
                <w:szCs w:val="18"/>
              </w:rPr>
              <w:t xml:space="preserve"> January Partick ASB Action Plan</w:t>
            </w:r>
          </w:p>
          <w:p w:rsidR="00E6213D" w:rsidRPr="00E6213D" w:rsidRDefault="00E6213D" w:rsidP="00281F55">
            <w:pPr>
              <w:rPr>
                <w:sz w:val="18"/>
                <w:szCs w:val="18"/>
              </w:rPr>
            </w:pPr>
          </w:p>
          <w:p w:rsidR="00E6213D" w:rsidRPr="00E6213D" w:rsidRDefault="00E6213D" w:rsidP="00281F55">
            <w:pPr>
              <w:rPr>
                <w:sz w:val="18"/>
                <w:szCs w:val="18"/>
              </w:rPr>
            </w:pPr>
            <w:r w:rsidRPr="00E6213D">
              <w:rPr>
                <w:sz w:val="18"/>
                <w:szCs w:val="18"/>
              </w:rPr>
              <w:t>Friday 29</w:t>
            </w:r>
            <w:r w:rsidRPr="00E6213D">
              <w:rPr>
                <w:sz w:val="18"/>
                <w:szCs w:val="18"/>
                <w:vertAlign w:val="superscript"/>
              </w:rPr>
              <w:t>th</w:t>
            </w:r>
            <w:r w:rsidRPr="00E6213D">
              <w:rPr>
                <w:sz w:val="18"/>
                <w:szCs w:val="18"/>
              </w:rPr>
              <w:t xml:space="preserve"> January Partick ASB Action Plan</w:t>
            </w:r>
          </w:p>
          <w:p w:rsidR="00E6213D" w:rsidRPr="00E6213D" w:rsidRDefault="00E6213D" w:rsidP="00281F55">
            <w:pPr>
              <w:rPr>
                <w:sz w:val="18"/>
                <w:szCs w:val="18"/>
              </w:rPr>
            </w:pPr>
            <w:r w:rsidRPr="00E6213D">
              <w:rPr>
                <w:sz w:val="18"/>
                <w:szCs w:val="18"/>
              </w:rPr>
              <w:t>Saturday 30</w:t>
            </w:r>
            <w:r w:rsidRPr="00E6213D">
              <w:rPr>
                <w:sz w:val="18"/>
                <w:szCs w:val="18"/>
                <w:vertAlign w:val="superscript"/>
              </w:rPr>
              <w:t>th</w:t>
            </w:r>
            <w:r w:rsidRPr="00E6213D">
              <w:rPr>
                <w:sz w:val="18"/>
                <w:szCs w:val="18"/>
              </w:rPr>
              <w:t xml:space="preserve"> January Partick ASB Action Plan</w:t>
            </w:r>
          </w:p>
          <w:p w:rsidR="00E6213D" w:rsidRPr="00E6213D" w:rsidRDefault="00E6213D" w:rsidP="00281F55">
            <w:pPr>
              <w:rPr>
                <w:sz w:val="18"/>
                <w:szCs w:val="18"/>
              </w:rPr>
            </w:pPr>
          </w:p>
          <w:p w:rsidR="0074004F" w:rsidRPr="00E6213D" w:rsidRDefault="00E6213D" w:rsidP="00281F55">
            <w:pPr>
              <w:rPr>
                <w:sz w:val="18"/>
                <w:szCs w:val="18"/>
              </w:rPr>
            </w:pPr>
            <w:r w:rsidRPr="00E6213D">
              <w:rPr>
                <w:sz w:val="18"/>
                <w:szCs w:val="18"/>
              </w:rPr>
              <w:t xml:space="preserve">This weekend coming </w:t>
            </w:r>
            <w:r>
              <w:rPr>
                <w:sz w:val="18"/>
                <w:szCs w:val="18"/>
              </w:rPr>
              <w:t>there is</w:t>
            </w:r>
            <w:r w:rsidRPr="00E6213D">
              <w:rPr>
                <w:sz w:val="18"/>
                <w:szCs w:val="18"/>
              </w:rPr>
              <w:t xml:space="preserve"> another ASB plan in Partick / West End and the two weeks beyond that we will be focusing on Ayrshire</w:t>
            </w:r>
            <w:r w:rsidRPr="00E6213D">
              <w:rPr>
                <w:sz w:val="18"/>
                <w:szCs w:val="18"/>
              </w:rPr>
              <w:t>.</w:t>
            </w:r>
          </w:p>
        </w:tc>
      </w:tr>
      <w:tr w:rsidR="0074004F" w:rsidRPr="003068D9" w:rsidTr="00171B13">
        <w:trPr>
          <w:trHeight w:val="65"/>
        </w:trPr>
        <w:tc>
          <w:tcPr>
            <w:tcW w:w="878" w:type="pct"/>
            <w:shd w:val="clear" w:color="auto" w:fill="C5E0B3" w:themeFill="accent6" w:themeFillTint="66"/>
            <w:tcMar>
              <w:top w:w="15" w:type="dxa"/>
              <w:left w:w="108" w:type="dxa"/>
              <w:bottom w:w="0" w:type="dxa"/>
              <w:right w:w="108" w:type="dxa"/>
            </w:tcMar>
          </w:tcPr>
          <w:p w:rsidR="00F7372D" w:rsidRPr="003068D9" w:rsidRDefault="00F7372D" w:rsidP="003068D9">
            <w:pPr>
              <w:rPr>
                <w:sz w:val="18"/>
                <w:szCs w:val="18"/>
              </w:rPr>
            </w:pPr>
            <w:r w:rsidRPr="003068D9">
              <w:rPr>
                <w:sz w:val="18"/>
                <w:szCs w:val="18"/>
              </w:rPr>
              <w:lastRenderedPageBreak/>
              <w:t xml:space="preserve">For the North the main issue was in Fife during this period. There was a </w:t>
            </w:r>
            <w:r w:rsidR="00AA1655" w:rsidRPr="003068D9">
              <w:rPr>
                <w:sz w:val="18"/>
                <w:szCs w:val="18"/>
              </w:rPr>
              <w:t>spike in</w:t>
            </w:r>
            <w:r w:rsidRPr="003068D9">
              <w:rPr>
                <w:sz w:val="18"/>
                <w:szCs w:val="18"/>
              </w:rPr>
              <w:t xml:space="preserve"> ASB, staff assaults and COVID non-compliance from youths travelling on the FIfe circle.</w:t>
            </w:r>
          </w:p>
          <w:p w:rsidR="0074004F" w:rsidRPr="003068D9" w:rsidRDefault="0074004F" w:rsidP="003068D9">
            <w:pPr>
              <w:rPr>
                <w:sz w:val="18"/>
                <w:szCs w:val="18"/>
              </w:rPr>
            </w:pPr>
          </w:p>
        </w:tc>
        <w:tc>
          <w:tcPr>
            <w:tcW w:w="2402" w:type="pct"/>
            <w:shd w:val="clear" w:color="auto" w:fill="C5E0B3" w:themeFill="accent6" w:themeFillTint="66"/>
            <w:tcMar>
              <w:top w:w="15" w:type="dxa"/>
              <w:left w:w="108" w:type="dxa"/>
              <w:bottom w:w="0" w:type="dxa"/>
              <w:right w:w="108" w:type="dxa"/>
            </w:tcMar>
          </w:tcPr>
          <w:p w:rsidR="00F7372D" w:rsidRPr="003068D9" w:rsidRDefault="00F7372D" w:rsidP="003068D9">
            <w:pPr>
              <w:rPr>
                <w:sz w:val="18"/>
                <w:szCs w:val="18"/>
              </w:rPr>
            </w:pPr>
            <w:r w:rsidRPr="003068D9">
              <w:rPr>
                <w:sz w:val="18"/>
                <w:szCs w:val="18"/>
              </w:rPr>
              <w:t xml:space="preserve">There was a surge in patrols form the 13th to 29th every day in Fife targeting same made up of recourses from all over the </w:t>
            </w:r>
            <w:r w:rsidR="00AA1655" w:rsidRPr="003068D9">
              <w:rPr>
                <w:sz w:val="18"/>
                <w:szCs w:val="18"/>
              </w:rPr>
              <w:t>sector,</w:t>
            </w:r>
            <w:r w:rsidRPr="003068D9">
              <w:rPr>
                <w:sz w:val="18"/>
                <w:szCs w:val="18"/>
              </w:rPr>
              <w:t xml:space="preserve"> OSU, specials and </w:t>
            </w:r>
            <w:r w:rsidR="00AA1655" w:rsidRPr="003068D9">
              <w:rPr>
                <w:sz w:val="18"/>
                <w:szCs w:val="18"/>
              </w:rPr>
              <w:t>OT.</w:t>
            </w:r>
          </w:p>
          <w:p w:rsidR="00F7372D" w:rsidRPr="003068D9" w:rsidRDefault="00F7372D" w:rsidP="003068D9">
            <w:pPr>
              <w:rPr>
                <w:sz w:val="18"/>
                <w:szCs w:val="18"/>
              </w:rPr>
            </w:pPr>
            <w:r w:rsidRPr="003068D9">
              <w:rPr>
                <w:sz w:val="18"/>
                <w:szCs w:val="18"/>
              </w:rPr>
              <w:t xml:space="preserve">Every Friday, Saturday and </w:t>
            </w:r>
            <w:r w:rsidR="00AA1655" w:rsidRPr="003068D9">
              <w:rPr>
                <w:sz w:val="18"/>
                <w:szCs w:val="18"/>
              </w:rPr>
              <w:t>Sunday from</w:t>
            </w:r>
            <w:r w:rsidRPr="003068D9">
              <w:rPr>
                <w:sz w:val="18"/>
                <w:szCs w:val="18"/>
              </w:rPr>
              <w:t xml:space="preserve"> November 13th</w:t>
            </w:r>
            <w:r w:rsidR="00AA1655" w:rsidRPr="003068D9">
              <w:rPr>
                <w:sz w:val="18"/>
                <w:szCs w:val="18"/>
              </w:rPr>
              <w:t>, 2020</w:t>
            </w:r>
            <w:r w:rsidRPr="003068D9">
              <w:rPr>
                <w:sz w:val="18"/>
                <w:szCs w:val="18"/>
              </w:rPr>
              <w:t xml:space="preserve"> till now </w:t>
            </w:r>
            <w:r w:rsidR="00176498">
              <w:rPr>
                <w:sz w:val="18"/>
                <w:szCs w:val="18"/>
              </w:rPr>
              <w:t xml:space="preserve">there have been </w:t>
            </w:r>
            <w:r w:rsidRPr="003068D9">
              <w:rPr>
                <w:sz w:val="18"/>
                <w:szCs w:val="18"/>
              </w:rPr>
              <w:t>extra officers on duty conducting Red Cedar patrols from 1500hrs to 2300hrs on the Fife circle.</w:t>
            </w:r>
          </w:p>
          <w:p w:rsidR="00F7372D" w:rsidRPr="003068D9" w:rsidRDefault="00F7372D" w:rsidP="003068D9">
            <w:pPr>
              <w:rPr>
                <w:sz w:val="18"/>
                <w:szCs w:val="18"/>
              </w:rPr>
            </w:pPr>
            <w:r w:rsidRPr="003068D9">
              <w:rPr>
                <w:sz w:val="18"/>
                <w:szCs w:val="18"/>
              </w:rPr>
              <w:t>The patrols have focused on Kirkcaldy, Inverkeithing, Dunfermline town as static patrols and mobile and on train patrols on the line fife circle line of route.</w:t>
            </w:r>
          </w:p>
          <w:p w:rsidR="00171B13" w:rsidRPr="003068D9" w:rsidRDefault="00171B13" w:rsidP="003068D9">
            <w:pPr>
              <w:rPr>
                <w:sz w:val="18"/>
                <w:szCs w:val="18"/>
              </w:rPr>
            </w:pPr>
          </w:p>
        </w:tc>
        <w:tc>
          <w:tcPr>
            <w:tcW w:w="1720" w:type="pct"/>
            <w:shd w:val="clear" w:color="auto" w:fill="C5E0B3" w:themeFill="accent6" w:themeFillTint="66"/>
            <w:tcMar>
              <w:top w:w="15" w:type="dxa"/>
              <w:left w:w="108" w:type="dxa"/>
              <w:bottom w:w="0" w:type="dxa"/>
              <w:right w:w="108" w:type="dxa"/>
            </w:tcMar>
          </w:tcPr>
          <w:p w:rsidR="00483232" w:rsidRPr="003068D9" w:rsidRDefault="00483232" w:rsidP="003068D9">
            <w:pPr>
              <w:rPr>
                <w:sz w:val="18"/>
                <w:szCs w:val="18"/>
              </w:rPr>
            </w:pPr>
            <w:r w:rsidRPr="003068D9">
              <w:rPr>
                <w:sz w:val="18"/>
                <w:szCs w:val="18"/>
              </w:rPr>
              <w:t xml:space="preserve">All sectors had further Op Red Cedar patrols during the festive period, between the 18th and 27th December 2020 to support the rail industry due to an anticipated increase in passenger numbers. </w:t>
            </w:r>
          </w:p>
          <w:p w:rsidR="0074004F" w:rsidRPr="003068D9" w:rsidRDefault="00483232" w:rsidP="003068D9">
            <w:pPr>
              <w:rPr>
                <w:sz w:val="18"/>
                <w:szCs w:val="18"/>
              </w:rPr>
            </w:pPr>
            <w:r w:rsidRPr="003068D9">
              <w:rPr>
                <w:sz w:val="18"/>
                <w:szCs w:val="18"/>
              </w:rPr>
              <w:t>The North Sector did not see any spike in this time.</w:t>
            </w:r>
          </w:p>
        </w:tc>
      </w:tr>
    </w:tbl>
    <w:p w:rsidR="0074004F" w:rsidRPr="003068D9" w:rsidRDefault="0074004F" w:rsidP="003068D9">
      <w:pPr>
        <w:jc w:val="both"/>
        <w:rPr>
          <w:sz w:val="18"/>
          <w:szCs w:val="18"/>
        </w:rPr>
      </w:pPr>
    </w:p>
    <w:sectPr w:rsidR="0074004F" w:rsidRPr="003068D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77C" w:rsidRDefault="0082577C" w:rsidP="0083389E">
      <w:pPr>
        <w:spacing w:after="0" w:line="240" w:lineRule="auto"/>
      </w:pPr>
      <w:r>
        <w:separator/>
      </w:r>
    </w:p>
  </w:endnote>
  <w:endnote w:type="continuationSeparator" w:id="0">
    <w:p w:rsidR="0082577C" w:rsidRDefault="0082577C" w:rsidP="00833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89E" w:rsidRDefault="0083389E" w:rsidP="0083389E">
    <w:pPr>
      <w:pStyle w:val="Footer"/>
      <w:jc w:val="center"/>
    </w:pPr>
    <w:r>
      <w:t>OFFICIAL</w:t>
    </w:r>
  </w:p>
  <w:p w:rsidR="0083389E" w:rsidRDefault="00833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77C" w:rsidRDefault="0082577C" w:rsidP="0083389E">
      <w:pPr>
        <w:spacing w:after="0" w:line="240" w:lineRule="auto"/>
      </w:pPr>
      <w:r>
        <w:separator/>
      </w:r>
    </w:p>
  </w:footnote>
  <w:footnote w:type="continuationSeparator" w:id="0">
    <w:p w:rsidR="0082577C" w:rsidRDefault="0082577C" w:rsidP="008338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4F"/>
    <w:rsid w:val="00055621"/>
    <w:rsid w:val="00100E55"/>
    <w:rsid w:val="00117266"/>
    <w:rsid w:val="00171B13"/>
    <w:rsid w:val="00176498"/>
    <w:rsid w:val="001B128D"/>
    <w:rsid w:val="00227BBD"/>
    <w:rsid w:val="00281F55"/>
    <w:rsid w:val="003068D9"/>
    <w:rsid w:val="00343882"/>
    <w:rsid w:val="00400DE0"/>
    <w:rsid w:val="00422EA9"/>
    <w:rsid w:val="00483232"/>
    <w:rsid w:val="005451FE"/>
    <w:rsid w:val="00551AD0"/>
    <w:rsid w:val="006D49F5"/>
    <w:rsid w:val="0074004F"/>
    <w:rsid w:val="007F7CAC"/>
    <w:rsid w:val="0082577C"/>
    <w:rsid w:val="0083389E"/>
    <w:rsid w:val="00913862"/>
    <w:rsid w:val="00985296"/>
    <w:rsid w:val="00A7008D"/>
    <w:rsid w:val="00A941AC"/>
    <w:rsid w:val="00AA1655"/>
    <w:rsid w:val="00B90C3C"/>
    <w:rsid w:val="00B94411"/>
    <w:rsid w:val="00D07C99"/>
    <w:rsid w:val="00D77967"/>
    <w:rsid w:val="00E102A7"/>
    <w:rsid w:val="00E215ED"/>
    <w:rsid w:val="00E576BD"/>
    <w:rsid w:val="00E6213D"/>
    <w:rsid w:val="00E90E40"/>
    <w:rsid w:val="00F73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15B28"/>
  <w15:chartTrackingRefBased/>
  <w15:docId w15:val="{5910D527-B7E0-44B1-B4CD-BE0654F6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0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3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89E"/>
  </w:style>
  <w:style w:type="paragraph" w:styleId="Footer">
    <w:name w:val="footer"/>
    <w:basedOn w:val="Normal"/>
    <w:link w:val="FooterChar"/>
    <w:uiPriority w:val="99"/>
    <w:unhideWhenUsed/>
    <w:rsid w:val="00833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63917">
      <w:bodyDiv w:val="1"/>
      <w:marLeft w:val="0"/>
      <w:marRight w:val="0"/>
      <w:marTop w:val="0"/>
      <w:marBottom w:val="0"/>
      <w:divBdr>
        <w:top w:val="none" w:sz="0" w:space="0" w:color="auto"/>
        <w:left w:val="none" w:sz="0" w:space="0" w:color="auto"/>
        <w:bottom w:val="none" w:sz="0" w:space="0" w:color="auto"/>
        <w:right w:val="none" w:sz="0" w:space="0" w:color="auto"/>
      </w:divBdr>
    </w:div>
    <w:div w:id="585110728">
      <w:bodyDiv w:val="1"/>
      <w:marLeft w:val="0"/>
      <w:marRight w:val="0"/>
      <w:marTop w:val="0"/>
      <w:marBottom w:val="0"/>
      <w:divBdr>
        <w:top w:val="none" w:sz="0" w:space="0" w:color="auto"/>
        <w:left w:val="none" w:sz="0" w:space="0" w:color="auto"/>
        <w:bottom w:val="none" w:sz="0" w:space="0" w:color="auto"/>
        <w:right w:val="none" w:sz="0" w:space="0" w:color="auto"/>
      </w:divBdr>
    </w:div>
    <w:div w:id="696539230">
      <w:bodyDiv w:val="1"/>
      <w:marLeft w:val="0"/>
      <w:marRight w:val="0"/>
      <w:marTop w:val="0"/>
      <w:marBottom w:val="0"/>
      <w:divBdr>
        <w:top w:val="none" w:sz="0" w:space="0" w:color="auto"/>
        <w:left w:val="none" w:sz="0" w:space="0" w:color="auto"/>
        <w:bottom w:val="none" w:sz="0" w:space="0" w:color="auto"/>
        <w:right w:val="none" w:sz="0" w:space="0" w:color="auto"/>
      </w:divBdr>
    </w:div>
    <w:div w:id="985283260">
      <w:bodyDiv w:val="1"/>
      <w:marLeft w:val="0"/>
      <w:marRight w:val="0"/>
      <w:marTop w:val="0"/>
      <w:marBottom w:val="0"/>
      <w:divBdr>
        <w:top w:val="none" w:sz="0" w:space="0" w:color="auto"/>
        <w:left w:val="none" w:sz="0" w:space="0" w:color="auto"/>
        <w:bottom w:val="none" w:sz="0" w:space="0" w:color="auto"/>
        <w:right w:val="none" w:sz="0" w:space="0" w:color="auto"/>
      </w:divBdr>
    </w:div>
    <w:div w:id="1017386207">
      <w:bodyDiv w:val="1"/>
      <w:marLeft w:val="0"/>
      <w:marRight w:val="0"/>
      <w:marTop w:val="0"/>
      <w:marBottom w:val="0"/>
      <w:divBdr>
        <w:top w:val="none" w:sz="0" w:space="0" w:color="auto"/>
        <w:left w:val="none" w:sz="0" w:space="0" w:color="auto"/>
        <w:bottom w:val="none" w:sz="0" w:space="0" w:color="auto"/>
        <w:right w:val="none" w:sz="0" w:space="0" w:color="auto"/>
      </w:divBdr>
    </w:div>
    <w:div w:id="1643459487">
      <w:bodyDiv w:val="1"/>
      <w:marLeft w:val="0"/>
      <w:marRight w:val="0"/>
      <w:marTop w:val="0"/>
      <w:marBottom w:val="0"/>
      <w:divBdr>
        <w:top w:val="none" w:sz="0" w:space="0" w:color="auto"/>
        <w:left w:val="none" w:sz="0" w:space="0" w:color="auto"/>
        <w:bottom w:val="none" w:sz="0" w:space="0" w:color="auto"/>
        <w:right w:val="none" w:sz="0" w:space="0" w:color="auto"/>
      </w:divBdr>
    </w:div>
    <w:div w:id="207218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EC000-52A6-4436-ABAC-3CF5847AA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British Transport Police</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MacMillan, Rebecca</dc:creator>
  <cp:keywords/>
  <dc:description/>
  <cp:lastModifiedBy>MacMillan, Rebecca</cp:lastModifiedBy>
  <cp:revision>23</cp:revision>
  <dcterms:created xsi:type="dcterms:W3CDTF">2021-02-04T11:42:00Z</dcterms:created>
  <dcterms:modified xsi:type="dcterms:W3CDTF">2021-02-05T16:48:00Z</dcterms:modified>
</cp:coreProperties>
</file>